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DD" w:rsidRPr="003C5DA1" w:rsidRDefault="003C5DA1" w:rsidP="003C5D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5DA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7601DD" w:rsidRPr="003C5DA1" w:rsidRDefault="007601DD" w:rsidP="00760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01DD" w:rsidRPr="003C5DA1" w:rsidRDefault="007601DD" w:rsidP="0076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АБСАЛЯМОВСКОГО СЕЛЬСКОГО ПОСЕЛЕНИЯ</w:t>
      </w:r>
    </w:p>
    <w:p w:rsidR="007601DD" w:rsidRPr="003C5DA1" w:rsidRDefault="007601DD" w:rsidP="0076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ЮТАЗИНСКОГО МУНИЦИПАЛЬНОГО РАЙОНА</w:t>
      </w:r>
    </w:p>
    <w:p w:rsidR="007601DD" w:rsidRPr="003C5DA1" w:rsidRDefault="007601DD" w:rsidP="0076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7601DD" w:rsidRPr="003C5DA1" w:rsidRDefault="007601DD" w:rsidP="0076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601DD" w:rsidRPr="003C5DA1" w:rsidRDefault="007601DD" w:rsidP="003C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№____ </w:t>
      </w: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3C5DA1"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C5DA1"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3C5DA1"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___2018</w:t>
      </w:r>
      <w:r w:rsidRPr="003C5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7601DD" w:rsidRPr="003C5DA1" w:rsidRDefault="007601DD" w:rsidP="00760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338" w:type="dxa"/>
        <w:tblLook w:val="00A0" w:firstRow="1" w:lastRow="0" w:firstColumn="1" w:lastColumn="0" w:noHBand="0" w:noVBand="0"/>
      </w:tblPr>
      <w:tblGrid>
        <w:gridCol w:w="7338"/>
      </w:tblGrid>
      <w:tr w:rsidR="003C5DA1" w:rsidRPr="003C5DA1" w:rsidTr="003C5DA1">
        <w:tc>
          <w:tcPr>
            <w:tcW w:w="7338" w:type="dxa"/>
          </w:tcPr>
          <w:p w:rsidR="003C5DA1" w:rsidRPr="003C5DA1" w:rsidRDefault="003C5DA1" w:rsidP="0076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C5D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Абсалямовского сельского поселения Ютазинского муниципального района Республики Татарстан</w:t>
            </w:r>
          </w:p>
        </w:tc>
      </w:tr>
    </w:tbl>
    <w:p w:rsidR="007601DD" w:rsidRPr="003C5DA1" w:rsidRDefault="007601DD" w:rsidP="00760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01DD" w:rsidRPr="003C5DA1" w:rsidRDefault="007601DD" w:rsidP="007601DD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Cambria"/>
          <w:b/>
          <w:bCs/>
          <w:iCs/>
          <w:sz w:val="28"/>
          <w:szCs w:val="28"/>
          <w:lang w:eastAsia="ru-RU"/>
        </w:rPr>
      </w:pPr>
      <w:proofErr w:type="gramStart"/>
      <w:r w:rsidRPr="003C5DA1">
        <w:rPr>
          <w:rFonts w:ascii="Times New Roman" w:eastAsia="Calibri" w:hAnsi="Times New Roman" w:cs="Times New Roman"/>
          <w:sz w:val="28"/>
          <w:szCs w:val="28"/>
        </w:rPr>
        <w:t>В целях обеспечения социальных гарантий муниципальных служащих, в соответствии со статьей 53 Федерального закона от 06.10.2003г. №131-ФЗ «Об общих принципах организации местного самоуправления в Российской Федерации», статьей 22 Федерального закона от 02.03.2007г. №25-ФЗ «О муниципальной службе в Российской Федерации», «Кодексом Республики Татарстан о муниципальной службе» от 25.06.2013г. №50-ЗРТ, постановлением Кабинета министров Республики Татарстан от 28 марта 2018</w:t>
      </w:r>
      <w:proofErr w:type="gramEnd"/>
      <w:r w:rsidRPr="003C5DA1">
        <w:rPr>
          <w:rFonts w:ascii="Times New Roman" w:eastAsia="Calibri" w:hAnsi="Times New Roman" w:cs="Times New Roman"/>
          <w:sz w:val="28"/>
          <w:szCs w:val="28"/>
        </w:rPr>
        <w:t xml:space="preserve"> года №182  «</w:t>
      </w:r>
      <w:r w:rsidRPr="003C5D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 </w:t>
      </w:r>
      <w:r w:rsidRPr="003C5DA1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3C5DA1">
        <w:rPr>
          <w:rFonts w:ascii="Times New Roman" w:eastAsia="Calibri" w:hAnsi="Times New Roman" w:cs="Cambria"/>
          <w:bCs/>
          <w:iCs/>
          <w:sz w:val="28"/>
          <w:szCs w:val="28"/>
          <w:lang w:eastAsia="ru-RU"/>
        </w:rPr>
        <w:t xml:space="preserve">Совет Абсалямовского сельского поселения Ютазинского муниципального района </w:t>
      </w:r>
      <w:r w:rsidRPr="003C5DA1">
        <w:rPr>
          <w:rFonts w:ascii="Times New Roman" w:eastAsia="Calibri" w:hAnsi="Times New Roman" w:cs="Cambria"/>
          <w:b/>
          <w:bCs/>
          <w:iCs/>
          <w:sz w:val="28"/>
          <w:szCs w:val="28"/>
          <w:lang w:eastAsia="ru-RU"/>
        </w:rPr>
        <w:t>РЕШИЛ:</w:t>
      </w:r>
    </w:p>
    <w:p w:rsidR="007601DD" w:rsidRPr="003C5DA1" w:rsidRDefault="007601DD" w:rsidP="003C5D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Абсалямовского сельского поселения Ютазинского муниципального района Республики Татарстан согласно приложению №1.</w:t>
      </w:r>
    </w:p>
    <w:p w:rsidR="007601DD" w:rsidRPr="003C5DA1" w:rsidRDefault="007601DD" w:rsidP="003C5DA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Абсалямовского сельского поселения Ютазинского муниципального района от 07.07.2008 г. №19 «О порядке и условиях оплаты труда,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органов местного самоуправления Абсалямовского  сельского поселения Ютазинского муниципального района» </w:t>
      </w:r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spellStart"/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16.05</w:t>
      </w:r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.2011г., 19.01.2012г., </w:t>
      </w:r>
      <w:r w:rsidR="00854729"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.10.2017г.).</w:t>
      </w:r>
    </w:p>
    <w:p w:rsidR="007601DD" w:rsidRPr="003C5DA1" w:rsidRDefault="007601DD" w:rsidP="003C5DA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3C5DA1"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proofErr w:type="gramEnd"/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 возникшие с 1 апреля 2018 года.</w:t>
      </w:r>
    </w:p>
    <w:p w:rsidR="007601DD" w:rsidRDefault="007601DD" w:rsidP="003C5D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решением возложить на заместителя главы Абсалямовского сельского поселения.</w:t>
      </w:r>
    </w:p>
    <w:p w:rsidR="003C5DA1" w:rsidRPr="003C5DA1" w:rsidRDefault="003C5DA1" w:rsidP="003C5D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3C5DA1" w:rsidRDefault="007601DD" w:rsidP="007601D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7601DD" w:rsidRPr="007011A3" w:rsidRDefault="007601DD" w:rsidP="007601D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Абсалямовского сельского поселения:                              </w:t>
      </w:r>
      <w:r w:rsidR="003C5DA1">
        <w:rPr>
          <w:rFonts w:ascii="Times New Roman" w:eastAsia="Times New Roman" w:hAnsi="Times New Roman" w:cs="Times New Roman"/>
          <w:sz w:val="28"/>
          <w:szCs w:val="28"/>
        </w:rPr>
        <w:tab/>
      </w:r>
      <w:r w:rsidR="003C5DA1">
        <w:rPr>
          <w:rFonts w:ascii="Times New Roman" w:eastAsia="Times New Roman" w:hAnsi="Times New Roman" w:cs="Times New Roman"/>
          <w:sz w:val="28"/>
          <w:szCs w:val="28"/>
        </w:rPr>
        <w:tab/>
      </w:r>
      <w:r w:rsidRPr="003C5DA1">
        <w:rPr>
          <w:rFonts w:ascii="Times New Roman" w:eastAsia="Times New Roman" w:hAnsi="Times New Roman" w:cs="Times New Roman"/>
          <w:sz w:val="28"/>
          <w:szCs w:val="28"/>
        </w:rPr>
        <w:t>Р.В.</w:t>
      </w:r>
      <w:r w:rsidR="003C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A1">
        <w:rPr>
          <w:rFonts w:ascii="Times New Roman" w:eastAsia="Times New Roman" w:hAnsi="Times New Roman" w:cs="Times New Roman"/>
          <w:sz w:val="28"/>
          <w:szCs w:val="28"/>
        </w:rPr>
        <w:t xml:space="preserve">Бакиров                                   </w:t>
      </w:r>
      <w:r w:rsidRPr="007011A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601DD" w:rsidRPr="007011A3" w:rsidRDefault="007601DD" w:rsidP="007601D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395"/>
      </w:tblGrid>
      <w:tr w:rsidR="007601DD" w:rsidRPr="007601DD" w:rsidTr="003C5DA1">
        <w:tc>
          <w:tcPr>
            <w:tcW w:w="5778" w:type="dxa"/>
          </w:tcPr>
          <w:p w:rsidR="007601DD" w:rsidRPr="007601DD" w:rsidRDefault="007601DD" w:rsidP="0076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7601DD" w:rsidRPr="003C5DA1" w:rsidRDefault="007601DD" w:rsidP="003C5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решению Совета </w:t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Абсалямовского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от «</w:t>
            </w:r>
            <w:r w:rsid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года №</w:t>
            </w:r>
            <w:r w:rsid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7601DD" w:rsidRPr="007601DD" w:rsidRDefault="007601DD" w:rsidP="007601DD">
      <w:pPr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" w:name="Par56"/>
      <w:bookmarkEnd w:id="1"/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порядке и условиях оплаты труда депутатов, 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выборных должностных лиц местного самоуправления, осуществляющих свои полномочия на постоянной основе, муниципальных служащих </w:t>
      </w:r>
      <w:r w:rsidR="00246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Абсалямовского</w:t>
      </w:r>
      <w:r w:rsidRPr="0076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246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(далее – положение) устанавливает размер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</w:t>
      </w:r>
      <w:proofErr w:type="spellStart"/>
      <w:r w:rsidR="00246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Абсалямовском</w:t>
      </w:r>
      <w:proofErr w:type="spell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Ютазинского муниципального района Республики</w:t>
      </w:r>
      <w:proofErr w:type="gram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Татарстан. 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OLE_LINK1"/>
      <w:bookmarkStart w:id="3" w:name="OLE_LINK2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1.Оплата труда глав муниципальных образований, депутатов, 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выборных органов местного самоуправления</w:t>
      </w:r>
    </w:p>
    <w:bookmarkEnd w:id="2"/>
    <w:bookmarkEnd w:id="3"/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 денежного вознаграждения Главы муниципального образования, устанавливается в размерах, не превышающих установленным в приложениях № 1 к настоящему решению.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Единовременная выплата при предоставлении ежегодного оплачиваемого отпуска главе муниципального образования выплачивается в размере, не превышающем одного ежемесячного денежного вознаграждения в год.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56"/>
      <w:bookmarkEnd w:id="4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5" w:name="Par167"/>
      <w:bookmarkEnd w:id="5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отпуска, дополнительно выплачивается ежемесячное денежное поощрение и ежемесячная надбавка за выслугу лет к ежемесячному вознаграждению. Размер указанных надбавок не могут превышать размеры, установленные пунктом 3 раздела 2 настоящего Положения. При этом размер расходов на оплату труда указанных лиц в части выплаты ежемесячного денежного не может превышать норматив, составляющий одиннадцати ежемесячных денежных вознаграждений в год, в части выплаты ежемесячной надбавки за выслугу лет не может превышать норматив, составляющий три ежемесячных денежных вознаграждений в год.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2.Оплата труда муниципальных служащих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Муниципальным служащим устанавливаются должностные оклады в зависимости от занимаемой муниципальной должности муниципальной службы. Размер должностного оклада муниципального служащего исчисляется кратно размеру должностного </w:t>
      </w: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оклада специалиста младшей группы должностей муниципальной службы</w:t>
      </w:r>
      <w:proofErr w:type="gram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сельском поселении равном 11 163 рубля. </w:t>
      </w: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Коэффициенты кратности, применяемые при исчислении размеров должностных окладов муниципальных служащих </w:t>
      </w:r>
      <w:r w:rsidR="00246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устанавливаются</w:t>
      </w:r>
      <w:proofErr w:type="gram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размерах, не превышающих в приложении № 2  к настоящему решению.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муниципальных служащих состоит </w:t>
      </w: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месячного должностного оклада муниципального служащего;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классный чин;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выслугу лет;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особые условия муниципальной службы;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ежемесячного денежного поощрения,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премий за выполнение особо важных сложных заданий;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единовременной выплаты при предоставлении ежегодного оплачиваемого отпуска;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работу со сведениями, составляющими государственную тайну;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выплаты муниципальным служащим, в основные обязанности которых входит проведение правовой экспертизы правовых актов, подготовка и редактирование проектов правовых актов, и их визирование в качестве юриста или исполнителя, имеющим высшее юридическое образование;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компенсационных выплат за специальный режим работы, сложность и напряженность работы;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профильную ученую степень;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к должностному окладу за почетное звание Республики Татарстан;</w:t>
      </w:r>
    </w:p>
    <w:p w:rsidR="007601DD" w:rsidRPr="007601DD" w:rsidRDefault="007601DD" w:rsidP="00760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материальной помощи. 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379"/>
        <w:gridCol w:w="3828"/>
      </w:tblGrid>
      <w:tr w:rsidR="007601DD" w:rsidRPr="007601DD" w:rsidTr="00AF2342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муниципальной службы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надбавки, в процентах</w:t>
            </w:r>
          </w:p>
        </w:tc>
      </w:tr>
      <w:tr w:rsidR="007601DD" w:rsidRPr="007601DD" w:rsidTr="00AF2342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01DD" w:rsidRPr="007601DD" w:rsidTr="00AF234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601DD" w:rsidRPr="007601DD" w:rsidTr="00AF234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601DD" w:rsidRPr="007601DD" w:rsidTr="00AF234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DD" w:rsidRPr="007601DD" w:rsidRDefault="007601DD" w:rsidP="007601D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муниципального образования,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Ежемесячная надбавка за классный чин муниципальному служащему устанавливается в размерах, не превышающих: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835"/>
      </w:tblGrid>
      <w:tr w:rsidR="007601DD" w:rsidRPr="007601DD" w:rsidTr="00AF2342">
        <w:tc>
          <w:tcPr>
            <w:tcW w:w="7338" w:type="dxa"/>
            <w:vAlign w:val="center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2835" w:type="dxa"/>
            <w:vAlign w:val="center"/>
          </w:tcPr>
          <w:p w:rsidR="007601DD" w:rsidRPr="007601DD" w:rsidRDefault="007601DD" w:rsidP="007601DD">
            <w:pPr>
              <w:suppressAutoHyphens/>
              <w:spacing w:after="0"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надбавки за классный чин</w:t>
            </w:r>
          </w:p>
          <w:p w:rsidR="007601DD" w:rsidRPr="007601DD" w:rsidRDefault="007601DD" w:rsidP="007601DD">
            <w:pPr>
              <w:suppressAutoHyphens/>
              <w:spacing w:after="0"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(в процентах к должностному окладу)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Действительный муниципальный советник 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Действительный муниципальный советник 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Действительный муниципальный советник III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советник 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советник 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советник III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муниципальной службы 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муниципальной службы 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муниципальной службы III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 муниципальной службы 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 муниципальной службы 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 муниципальной службы III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службы 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службы 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1DD" w:rsidRPr="007601DD" w:rsidTr="00AF2342">
        <w:tc>
          <w:tcPr>
            <w:tcW w:w="7338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службы III класса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Ежемесячная надбавка за классный чин устанавливается муниципальному служащему со дня присвоения ему классного чина в порядке, установленном законодательством о муниципальной службе Республики Татарстан.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Ежемесячная надбавка к должностному окладу муниципального служащего за особые условия муниципальной службы (сложность, напряженность, высокие достижения в труде, специальный режим работы) устанавливается руководителем органа местного самоуправления в размерах, не превышающих: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высших муниципальных должностей - 9 процентов должностного оклада;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главных муниципальных должностей - 7 процентов должностного оклада;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ведущих муниципальных должностей - 5 процентов должностного оклада;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старших муниципальных должностей - 3 процентов должностного оклада;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младших муниципальных должностей - 1 процентов должностного оклада.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Муниципальному служащему выплачивается ежемесячное денежное поощрение в размере, не превышающем одного процента должностного оклада.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Муниципальным служащим выплачиваются премии за выполнение особо важных и сложных заданий,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 и максимальным размером не ограничиваются.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Для муниципальных служащих, допущенных к государственной тайне, на постоянной основе устанавливается надбавка к должностному окладу за работу со сведениями, составляющими государственную тайну, в размерах не превышающих: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835"/>
      </w:tblGrid>
      <w:tr w:rsidR="007601DD" w:rsidRPr="007601DD" w:rsidTr="00AF2342">
        <w:tc>
          <w:tcPr>
            <w:tcW w:w="7479" w:type="dxa"/>
            <w:vAlign w:val="center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процентная надбавка</w:t>
            </w:r>
          </w:p>
        </w:tc>
        <w:tc>
          <w:tcPr>
            <w:tcW w:w="2835" w:type="dxa"/>
            <w:vAlign w:val="center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надбавки,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процентах</w:t>
            </w:r>
          </w:p>
        </w:tc>
      </w:tr>
      <w:tr w:rsidR="007601DD" w:rsidRPr="007601DD" w:rsidTr="00AF2342">
        <w:tc>
          <w:tcPr>
            <w:tcW w:w="7479" w:type="dxa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со сведениями, имеющими степень секретности «особой важности»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«совершенно секретно» 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проведения проверочных мероприятий </w:t>
            </w:r>
          </w:p>
        </w:tc>
        <w:tc>
          <w:tcPr>
            <w:tcW w:w="2835" w:type="dxa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12,2-18,3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7,4-12,2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2,5-3,7</w:t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1,3-2,5</w:t>
            </w:r>
          </w:p>
        </w:tc>
      </w:tr>
    </w:tbl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Выплата муниципальным служащим, в основные обязанности которых входит проведение правовой экспертизы правовых актов, подготовка и редактирование проектов правовых актов, и их визирование в качестве юриста или исполнителя, имеющим высшее юридическое образование устанавливается в размерах не превышающих: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969"/>
      </w:tblGrid>
      <w:tr w:rsidR="007601DD" w:rsidRPr="007601DD" w:rsidTr="00AF2342">
        <w:tc>
          <w:tcPr>
            <w:tcW w:w="6345" w:type="dxa"/>
            <w:vAlign w:val="center"/>
          </w:tcPr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должности муниципальной службы</w:t>
            </w:r>
          </w:p>
        </w:tc>
        <w:tc>
          <w:tcPr>
            <w:tcW w:w="3969" w:type="dxa"/>
            <w:vAlign w:val="center"/>
          </w:tcPr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процентных ставок к должностному окладу</w:t>
            </w:r>
          </w:p>
        </w:tc>
      </w:tr>
      <w:tr w:rsidR="007601DD" w:rsidRPr="007601DD" w:rsidTr="00AF2342">
        <w:tc>
          <w:tcPr>
            <w:tcW w:w="6345" w:type="dxa"/>
          </w:tcPr>
          <w:p w:rsidR="007601DD" w:rsidRPr="007601DD" w:rsidRDefault="007601DD" w:rsidP="0076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Высшие должности муниципальной службы </w:t>
            </w:r>
          </w:p>
          <w:p w:rsidR="007601DD" w:rsidRPr="007601DD" w:rsidRDefault="007601DD" w:rsidP="0076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должности муниципальной службы</w:t>
            </w:r>
          </w:p>
          <w:p w:rsidR="007601DD" w:rsidRPr="007601DD" w:rsidRDefault="007601DD" w:rsidP="0076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  <w:p w:rsidR="007601DD" w:rsidRPr="007601DD" w:rsidRDefault="007601DD" w:rsidP="0076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3969" w:type="dxa"/>
          </w:tcPr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601DD" w:rsidRPr="007601DD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01DD" w:rsidRPr="007601DD" w:rsidRDefault="007601DD" w:rsidP="00760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Выплаты за специальный режим работы, сложность и напряженность работы устанавливается муниципальным служащим в размере двух процентов должностного оклада. </w:t>
      </w:r>
    </w:p>
    <w:p w:rsidR="007601DD" w:rsidRPr="007601DD" w:rsidRDefault="007601DD" w:rsidP="007601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компенсационная выплата за специальный режим работы (условия ненормированного служебного дня) производится муниципальным служащим, замещающим высшие и главные должности муниципальной службы, а также иные должности муниципальной службы с ненормированным служебным днем.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Ежемесячной надбавки к должностному окладу устанавливается:</w:t>
      </w:r>
    </w:p>
    <w:p w:rsidR="007601DD" w:rsidRPr="007601DD" w:rsidRDefault="007601DD" w:rsidP="007601D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профильную ученую степень кандидата наук – в размере 1,5 процента должностного оклада, </w:t>
      </w:r>
    </w:p>
    <w:p w:rsidR="007601DD" w:rsidRPr="007601DD" w:rsidRDefault="007601DD" w:rsidP="007601D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профильную ученую степень доктора наук – в размере 2,0 процентов должностного оклада;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почетное звание Республики Татарстан – в размере 2,5 процента должностного оклада.</w:t>
      </w:r>
    </w:p>
    <w:p w:rsidR="007601DD" w:rsidRPr="007601DD" w:rsidRDefault="007601DD" w:rsidP="007601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Единовременная выплата при предоставлении ежегодного оплачиваемого отпуска устанавливается муниципальному служащему в размере, не превышающим 1,2 должностных окладов.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Муниципальному служащему выплачивается материальная помощь в пределах установленного фонда оплаты труда.</w:t>
      </w:r>
    </w:p>
    <w:p w:rsidR="007601DD" w:rsidRPr="007601DD" w:rsidRDefault="007601DD" w:rsidP="007601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фонда оплаты труда </w:t>
      </w: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</w:t>
      </w:r>
      <w:r w:rsidR="00246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proofErr w:type="gramStart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формировании фонда оплаты труда муниципальных служащих муниципальных </w:t>
      </w:r>
      <w:r w:rsidR="00246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ежемесячной надбавки за классный чин - в размере, не превышающем четырех процентов должностных окладов;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6) ежемесячного денежного поощрения - в размере, не превышающем одного процента должностных окладов.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размеры должностных окладов муниципальных служащих в соответствии с замещаемыми ими должностями муниципальной службы,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DA1" w:rsidRPr="007601DD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070"/>
        <w:gridCol w:w="5386"/>
      </w:tblGrid>
      <w:tr w:rsidR="007601DD" w:rsidRPr="007601DD" w:rsidTr="002A6519">
        <w:trPr>
          <w:trHeight w:val="2988"/>
        </w:trPr>
        <w:tc>
          <w:tcPr>
            <w:tcW w:w="5070" w:type="dxa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7601DD">
              <w:rPr>
                <w:rFonts w:ascii="Calibri" w:eastAsia="Times New Roman" w:hAnsi="Calibri" w:cs="Calibri"/>
                <w:szCs w:val="28"/>
                <w:lang w:eastAsia="ru-RU"/>
              </w:rPr>
              <w:br w:type="page"/>
            </w:r>
          </w:p>
        </w:tc>
        <w:tc>
          <w:tcPr>
            <w:tcW w:w="5386" w:type="dxa"/>
          </w:tcPr>
          <w:p w:rsidR="003C5DA1" w:rsidRDefault="007601DD" w:rsidP="003C5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Абсалямовского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Татарстан, утвержденным решением Совета 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Абсалямовского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</w:p>
          <w:p w:rsidR="007601DD" w:rsidRPr="003C5DA1" w:rsidRDefault="007601DD" w:rsidP="003C5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3C5DA1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5DA1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854729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года №</w:t>
            </w:r>
            <w:r w:rsidR="003C5DA1"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</w:tbl>
    <w:p w:rsidR="007601DD" w:rsidRDefault="007601DD" w:rsidP="007601DD">
      <w:pPr>
        <w:widowControl w:val="0"/>
        <w:autoSpaceDE w:val="0"/>
        <w:autoSpaceDN w:val="0"/>
        <w:spacing w:after="0" w:line="240" w:lineRule="auto"/>
        <w:ind w:firstLine="723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3C5DA1" w:rsidRPr="003C5DA1" w:rsidRDefault="003C5DA1" w:rsidP="007601DD">
      <w:pPr>
        <w:widowControl w:val="0"/>
        <w:autoSpaceDE w:val="0"/>
        <w:autoSpaceDN w:val="0"/>
        <w:spacing w:after="0" w:line="240" w:lineRule="auto"/>
        <w:ind w:firstLine="723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2A6519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525"/>
      <w:bookmarkStart w:id="7" w:name="P573"/>
      <w:bookmarkEnd w:id="6"/>
      <w:bookmarkEnd w:id="7"/>
      <w:r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854729"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Абсалямовскоом</w:t>
      </w:r>
      <w:proofErr w:type="spellEnd"/>
      <w:r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Ютазинского муниципального района </w:t>
      </w:r>
    </w:p>
    <w:p w:rsidR="007601DD" w:rsidRPr="002A6519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3C5DA1" w:rsidRPr="003C5DA1" w:rsidRDefault="003C5DA1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3C5DA1" w:rsidRDefault="007601DD" w:rsidP="007601D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693"/>
        <w:gridCol w:w="5103"/>
      </w:tblGrid>
      <w:tr w:rsidR="007601DD" w:rsidRPr="003C5DA1" w:rsidTr="002A6519">
        <w:trPr>
          <w:trHeight w:val="43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7601DD" w:rsidRPr="003C5DA1" w:rsidRDefault="007601DD" w:rsidP="007601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7601DD" w:rsidRPr="003C5DA1" w:rsidTr="002A6519">
        <w:trPr>
          <w:trHeight w:val="70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сельских и городских поселениях, образованных на основе поселков городского типа     </w:t>
            </w:r>
          </w:p>
        </w:tc>
      </w:tr>
      <w:tr w:rsidR="007601DD" w:rsidRPr="003C5DA1" w:rsidTr="002A6519">
        <w:trPr>
          <w:trHeight w:val="42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7601DD" w:rsidRPr="003C5DA1" w:rsidTr="002A6519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14400</w:t>
            </w:r>
          </w:p>
        </w:tc>
      </w:tr>
    </w:tbl>
    <w:p w:rsidR="007601DD" w:rsidRPr="003C5DA1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7601DD" w:rsidRPr="007601DD" w:rsidTr="003C5DA1">
        <w:trPr>
          <w:trHeight w:val="3254"/>
        </w:trPr>
        <w:tc>
          <w:tcPr>
            <w:tcW w:w="4927" w:type="dxa"/>
          </w:tcPr>
          <w:p w:rsidR="007601DD" w:rsidRPr="007601DD" w:rsidRDefault="007601DD" w:rsidP="007601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7601DD">
              <w:rPr>
                <w:rFonts w:ascii="Calibri" w:eastAsia="Times New Roman" w:hAnsi="Calibri" w:cs="Calibri"/>
                <w:szCs w:val="28"/>
                <w:lang w:eastAsia="ru-RU"/>
              </w:rPr>
              <w:lastRenderedPageBreak/>
              <w:br w:type="page"/>
            </w: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8"/>
                <w:lang w:eastAsia="ru-RU"/>
              </w:rPr>
            </w:pPr>
          </w:p>
          <w:p w:rsidR="007601DD" w:rsidRPr="007601DD" w:rsidRDefault="007601DD" w:rsidP="007601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3C5DA1" w:rsidRDefault="003C5DA1" w:rsidP="003C5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2A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Абсалямовского сельского поселения Ютазинского муниципального района Республики Татарстан, утвержденным решением Совета </w:t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Абсалямовского сельского поселения  </w:t>
            </w:r>
          </w:p>
          <w:p w:rsidR="007601DD" w:rsidRPr="007601DD" w:rsidRDefault="003C5DA1" w:rsidP="003C5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 2018 года №____</w:t>
            </w:r>
          </w:p>
        </w:tc>
      </w:tr>
    </w:tbl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7601DD" w:rsidRDefault="007601DD" w:rsidP="007601DD">
      <w:pPr>
        <w:widowControl w:val="0"/>
        <w:suppressAutoHyphens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DD" w:rsidRPr="002A6519" w:rsidRDefault="007601DD" w:rsidP="007601D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484"/>
      <w:bookmarkEnd w:id="8"/>
      <w:r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коэффициентов, применяемых при исчислении должностных окладов муниципальных служащих </w:t>
      </w:r>
      <w:r w:rsidR="00854729"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Абсалямовского</w:t>
      </w:r>
      <w:r w:rsidRPr="002A6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7601DD" w:rsidRPr="003C5DA1" w:rsidRDefault="007601DD" w:rsidP="007601DD">
      <w:pPr>
        <w:widowControl w:val="0"/>
        <w:suppressAutoHyphens/>
        <w:autoSpaceDE w:val="0"/>
        <w:autoSpaceDN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5" w:type="dxa"/>
        <w:tblInd w:w="93" w:type="dxa"/>
        <w:tblLook w:val="00A0" w:firstRow="1" w:lastRow="0" w:firstColumn="1" w:lastColumn="0" w:noHBand="0" w:noVBand="0"/>
      </w:tblPr>
      <w:tblGrid>
        <w:gridCol w:w="6536"/>
        <w:gridCol w:w="3209"/>
      </w:tblGrid>
      <w:tr w:rsidR="007601DD" w:rsidRPr="003C5DA1" w:rsidTr="00AF2342">
        <w:trPr>
          <w:trHeight w:val="246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Коэффициенты</w:t>
            </w:r>
          </w:p>
        </w:tc>
      </w:tr>
      <w:tr w:rsidR="007601DD" w:rsidRPr="003C5DA1" w:rsidTr="00AF2342">
        <w:trPr>
          <w:trHeight w:val="237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7601DD" w:rsidRPr="003C5DA1" w:rsidTr="00AF2342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1DD" w:rsidRPr="003C5DA1" w:rsidRDefault="007601DD" w:rsidP="0076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</w:tr>
    </w:tbl>
    <w:p w:rsidR="007601DD" w:rsidRPr="007601DD" w:rsidRDefault="007601DD" w:rsidP="00760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F5" w:rsidRDefault="00B61EF5"/>
    <w:sectPr w:rsidR="00B61EF5" w:rsidSect="003C5DA1"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7C" w:rsidRDefault="00DF2D7C">
      <w:pPr>
        <w:spacing w:after="0" w:line="240" w:lineRule="auto"/>
      </w:pPr>
      <w:r>
        <w:separator/>
      </w:r>
    </w:p>
  </w:endnote>
  <w:endnote w:type="continuationSeparator" w:id="0">
    <w:p w:rsidR="00DF2D7C" w:rsidRDefault="00DF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7C" w:rsidRDefault="00DF2D7C">
      <w:pPr>
        <w:spacing w:after="0" w:line="240" w:lineRule="auto"/>
      </w:pPr>
      <w:r>
        <w:separator/>
      </w:r>
    </w:p>
  </w:footnote>
  <w:footnote w:type="continuationSeparator" w:id="0">
    <w:p w:rsidR="00DF2D7C" w:rsidRDefault="00DF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76A"/>
    <w:multiLevelType w:val="hybridMultilevel"/>
    <w:tmpl w:val="0548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2A"/>
    <w:rsid w:val="00246F0A"/>
    <w:rsid w:val="002A6519"/>
    <w:rsid w:val="003A062A"/>
    <w:rsid w:val="003C5DA1"/>
    <w:rsid w:val="007011A3"/>
    <w:rsid w:val="007601DD"/>
    <w:rsid w:val="00854729"/>
    <w:rsid w:val="00960409"/>
    <w:rsid w:val="00B61EF5"/>
    <w:rsid w:val="00D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01DD"/>
  </w:style>
  <w:style w:type="character" w:styleId="a5">
    <w:name w:val="page number"/>
    <w:rsid w:val="007601D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C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DA1"/>
  </w:style>
  <w:style w:type="paragraph" w:styleId="a8">
    <w:name w:val="Balloon Text"/>
    <w:basedOn w:val="a"/>
    <w:link w:val="a9"/>
    <w:uiPriority w:val="99"/>
    <w:semiHidden/>
    <w:unhideWhenUsed/>
    <w:rsid w:val="002A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01DD"/>
  </w:style>
  <w:style w:type="character" w:styleId="a5">
    <w:name w:val="page number"/>
    <w:rsid w:val="007601D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C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DA1"/>
  </w:style>
  <w:style w:type="paragraph" w:styleId="a8">
    <w:name w:val="Balloon Text"/>
    <w:basedOn w:val="a"/>
    <w:link w:val="a9"/>
    <w:uiPriority w:val="99"/>
    <w:semiHidden/>
    <w:unhideWhenUsed/>
    <w:rsid w:val="002A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2018-06-20T07:37:00Z</cp:lastPrinted>
  <dcterms:created xsi:type="dcterms:W3CDTF">2018-06-20T07:39:00Z</dcterms:created>
  <dcterms:modified xsi:type="dcterms:W3CDTF">2018-06-20T07:39:00Z</dcterms:modified>
</cp:coreProperties>
</file>