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8E" w:rsidRDefault="002C0A8E" w:rsidP="002C0A8E">
      <w:pPr>
        <w:spacing w:line="276" w:lineRule="auto"/>
        <w:jc w:val="right"/>
        <w:rPr>
          <w:bCs/>
          <w:spacing w:val="0"/>
          <w:kern w:val="36"/>
          <w:szCs w:val="28"/>
        </w:rPr>
      </w:pPr>
      <w:r>
        <w:rPr>
          <w:bCs/>
          <w:spacing w:val="0"/>
          <w:kern w:val="36"/>
          <w:szCs w:val="28"/>
        </w:rPr>
        <w:t>ПРОЕКТ</w:t>
      </w: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</w:p>
    <w:p w:rsidR="002C0A8E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  <w:bookmarkStart w:id="0" w:name="_GoBack"/>
      <w:r w:rsidRPr="006F4F42">
        <w:rPr>
          <w:bCs/>
          <w:spacing w:val="0"/>
          <w:kern w:val="36"/>
          <w:szCs w:val="28"/>
        </w:rPr>
        <w:t>Об утверждении межведомственной</w:t>
      </w:r>
    </w:p>
    <w:p w:rsidR="002C0A8E" w:rsidRPr="006F4F42" w:rsidRDefault="002C0A8E" w:rsidP="002C0A8E">
      <w:pPr>
        <w:spacing w:line="276" w:lineRule="auto"/>
        <w:rPr>
          <w:bCs/>
          <w:spacing w:val="0"/>
          <w:kern w:val="36"/>
          <w:szCs w:val="28"/>
        </w:rPr>
      </w:pPr>
      <w:r w:rsidRPr="006F4F42">
        <w:rPr>
          <w:bCs/>
          <w:spacing w:val="0"/>
          <w:kern w:val="36"/>
          <w:szCs w:val="28"/>
        </w:rPr>
        <w:t xml:space="preserve"> комиссии по смертности в</w:t>
      </w:r>
    </w:p>
    <w:p w:rsidR="002C0A8E" w:rsidRPr="006F4F42" w:rsidRDefault="002C0A8E" w:rsidP="002C0A8E">
      <w:pPr>
        <w:spacing w:line="276" w:lineRule="auto"/>
        <w:outlineLvl w:val="0"/>
        <w:rPr>
          <w:bCs/>
          <w:spacing w:val="0"/>
          <w:kern w:val="36"/>
          <w:szCs w:val="28"/>
        </w:rPr>
      </w:pPr>
      <w:r w:rsidRPr="006F4F42">
        <w:rPr>
          <w:bCs/>
          <w:spacing w:val="0"/>
          <w:kern w:val="36"/>
          <w:szCs w:val="28"/>
        </w:rPr>
        <w:t xml:space="preserve"> Ютазинском муниципальном</w:t>
      </w:r>
    </w:p>
    <w:p w:rsidR="002C0A8E" w:rsidRPr="006F4F42" w:rsidRDefault="002C0A8E" w:rsidP="002C0A8E">
      <w:pPr>
        <w:spacing w:line="276" w:lineRule="auto"/>
        <w:outlineLvl w:val="0"/>
        <w:rPr>
          <w:bCs/>
          <w:spacing w:val="0"/>
          <w:kern w:val="36"/>
          <w:szCs w:val="28"/>
        </w:rPr>
      </w:pPr>
      <w:r w:rsidRPr="006F4F42">
        <w:rPr>
          <w:bCs/>
          <w:spacing w:val="0"/>
          <w:kern w:val="36"/>
          <w:szCs w:val="28"/>
        </w:rPr>
        <w:t xml:space="preserve"> районе Республики Татарстан и</w:t>
      </w:r>
    </w:p>
    <w:p w:rsidR="002C0A8E" w:rsidRPr="006F4F42" w:rsidRDefault="002C0A8E" w:rsidP="002C0A8E">
      <w:pPr>
        <w:spacing w:line="276" w:lineRule="auto"/>
        <w:outlineLvl w:val="0"/>
        <w:rPr>
          <w:bCs/>
          <w:spacing w:val="0"/>
          <w:kern w:val="36"/>
          <w:szCs w:val="28"/>
        </w:rPr>
      </w:pPr>
      <w:r w:rsidRPr="006F4F42">
        <w:rPr>
          <w:bCs/>
          <w:spacing w:val="0"/>
          <w:kern w:val="36"/>
          <w:szCs w:val="28"/>
        </w:rPr>
        <w:t xml:space="preserve"> утверждении е</w:t>
      </w:r>
      <w:r w:rsidR="000F36E3">
        <w:rPr>
          <w:bCs/>
          <w:spacing w:val="0"/>
          <w:kern w:val="36"/>
          <w:szCs w:val="28"/>
        </w:rPr>
        <w:t>ё</w:t>
      </w:r>
      <w:r w:rsidRPr="006F4F42">
        <w:rPr>
          <w:bCs/>
          <w:spacing w:val="0"/>
          <w:kern w:val="36"/>
          <w:szCs w:val="28"/>
        </w:rPr>
        <w:t xml:space="preserve"> состава   </w:t>
      </w:r>
    </w:p>
    <w:bookmarkEnd w:id="0"/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</w:t>
      </w: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 В целях организации мониторинга, изучения причин смертности населения Ютазинского муниципального района Республики Татарстан и своевременного принятия эффективных мер, направленных на ее снижение Исполнительный комитет Ютазинского муниципального района Республики Татарстан </w:t>
      </w:r>
      <w:r>
        <w:rPr>
          <w:spacing w:val="0"/>
          <w:szCs w:val="28"/>
        </w:rPr>
        <w:t xml:space="preserve"> </w:t>
      </w:r>
      <w:r w:rsidRPr="006F4F42">
        <w:rPr>
          <w:spacing w:val="0"/>
          <w:szCs w:val="28"/>
        </w:rPr>
        <w:t>п о с т а н о в л я е т:</w:t>
      </w: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1.Утвердить:</w:t>
      </w:r>
    </w:p>
    <w:p w:rsidR="002C0A8E" w:rsidRPr="006F4F42" w:rsidRDefault="002C0A8E" w:rsidP="002C0A8E">
      <w:pPr>
        <w:spacing w:line="276" w:lineRule="auto"/>
        <w:jc w:val="both"/>
        <w:outlineLvl w:val="0"/>
        <w:rPr>
          <w:bCs/>
          <w:spacing w:val="0"/>
          <w:kern w:val="36"/>
          <w:szCs w:val="28"/>
        </w:rPr>
      </w:pPr>
      <w:r w:rsidRPr="006F4F42">
        <w:rPr>
          <w:spacing w:val="0"/>
          <w:szCs w:val="28"/>
        </w:rPr>
        <w:t xml:space="preserve">         1.1 Положение о работе межведомственной комиссии по </w:t>
      </w:r>
      <w:r w:rsidRPr="006F4F42">
        <w:rPr>
          <w:bCs/>
          <w:spacing w:val="0"/>
          <w:kern w:val="36"/>
          <w:szCs w:val="28"/>
        </w:rPr>
        <w:t>смертности в Ютазинском муниципальном районе Республики Татарстан (</w:t>
      </w:r>
      <w:r w:rsidRPr="006F4F42">
        <w:rPr>
          <w:spacing w:val="0"/>
          <w:szCs w:val="28"/>
        </w:rPr>
        <w:t xml:space="preserve">приложение </w:t>
      </w:r>
      <w:r>
        <w:rPr>
          <w:spacing w:val="0"/>
          <w:szCs w:val="28"/>
        </w:rPr>
        <w:t>№</w:t>
      </w:r>
      <w:r w:rsidRPr="006F4F42">
        <w:rPr>
          <w:spacing w:val="0"/>
          <w:szCs w:val="28"/>
        </w:rPr>
        <w:t>1);</w:t>
      </w:r>
    </w:p>
    <w:p w:rsidR="002C0A8E" w:rsidRPr="006F4F42" w:rsidRDefault="002C0A8E" w:rsidP="002C0A8E">
      <w:pPr>
        <w:tabs>
          <w:tab w:val="left" w:pos="709"/>
        </w:tabs>
        <w:spacing w:line="276" w:lineRule="auto"/>
        <w:jc w:val="both"/>
        <w:outlineLvl w:val="0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1.2 Состав межведомственной комиссии по </w:t>
      </w:r>
      <w:r w:rsidRPr="006F4F42">
        <w:rPr>
          <w:bCs/>
          <w:spacing w:val="0"/>
          <w:kern w:val="36"/>
          <w:szCs w:val="28"/>
        </w:rPr>
        <w:t>смертности в Ютазинском муниципальном районе Республики Татарстан (</w:t>
      </w:r>
      <w:r w:rsidRPr="006F4F42">
        <w:rPr>
          <w:spacing w:val="0"/>
          <w:szCs w:val="28"/>
        </w:rPr>
        <w:t xml:space="preserve">приложение </w:t>
      </w:r>
      <w:r>
        <w:rPr>
          <w:spacing w:val="0"/>
          <w:szCs w:val="28"/>
        </w:rPr>
        <w:t>№</w:t>
      </w:r>
      <w:r w:rsidRPr="006F4F42">
        <w:rPr>
          <w:spacing w:val="0"/>
          <w:szCs w:val="28"/>
        </w:rPr>
        <w:t>2);</w:t>
      </w:r>
    </w:p>
    <w:p w:rsidR="002C0A8E" w:rsidRPr="006F4F42" w:rsidRDefault="002C0A8E" w:rsidP="002C0A8E">
      <w:pPr>
        <w:spacing w:line="276" w:lineRule="auto"/>
        <w:jc w:val="both"/>
        <w:outlineLvl w:val="0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2. Контроль за деятельностью Комиссии возложить на заместителя руководителя Исполнительного комитета по социальным вопросам Ютазинского муниципального района РТ.</w:t>
      </w: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ind w:firstLine="708"/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Руководитель                                                                  </w:t>
      </w:r>
      <w:r>
        <w:rPr>
          <w:spacing w:val="0"/>
          <w:szCs w:val="28"/>
        </w:rPr>
        <w:tab/>
      </w:r>
      <w:r>
        <w:rPr>
          <w:spacing w:val="0"/>
          <w:szCs w:val="28"/>
        </w:rPr>
        <w:tab/>
      </w:r>
      <w:r w:rsidRPr="006F4F42">
        <w:rPr>
          <w:spacing w:val="0"/>
          <w:szCs w:val="28"/>
        </w:rPr>
        <w:t>С.П.</w:t>
      </w:r>
      <w:r>
        <w:rPr>
          <w:spacing w:val="0"/>
          <w:szCs w:val="28"/>
        </w:rPr>
        <w:t xml:space="preserve"> </w:t>
      </w:r>
      <w:r w:rsidRPr="006F4F42">
        <w:rPr>
          <w:spacing w:val="0"/>
          <w:szCs w:val="28"/>
        </w:rPr>
        <w:t xml:space="preserve">Самонина                        </w:t>
      </w: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</w:p>
    <w:p w:rsidR="002C0A8E" w:rsidRPr="006F4F42" w:rsidRDefault="002C0A8E" w:rsidP="002C0A8E">
      <w:pPr>
        <w:spacing w:line="276" w:lineRule="auto"/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</w:t>
      </w: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Default="002C0A8E" w:rsidP="002C0A8E">
      <w:pPr>
        <w:jc w:val="both"/>
        <w:rPr>
          <w:spacing w:val="0"/>
          <w:szCs w:val="28"/>
        </w:rPr>
      </w:pPr>
    </w:p>
    <w:p w:rsidR="002C0A8E" w:rsidRPr="006F4F42" w:rsidRDefault="002C0A8E" w:rsidP="002C0A8E">
      <w:pPr>
        <w:jc w:val="both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Д.Т. Волкова </w:t>
      </w:r>
    </w:p>
    <w:p w:rsidR="002C0A8E" w:rsidRPr="006F4F42" w:rsidRDefault="002C0A8E" w:rsidP="002C0A8E">
      <w:pPr>
        <w:jc w:val="both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тел. 2 -73-11                                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Приложение №</w:t>
      </w:r>
      <w:r w:rsidRPr="006F4F42">
        <w:rPr>
          <w:spacing w:val="0"/>
          <w:sz w:val="24"/>
          <w:szCs w:val="24"/>
        </w:rPr>
        <w:t>1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Утверждено Постановлением 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>Руководителя Исполнительного комитета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 Ютазинского муниципального района</w:t>
      </w:r>
    </w:p>
    <w:p w:rsidR="002C0A8E" w:rsidRDefault="002C0A8E" w:rsidP="002C0A8E">
      <w:pPr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Республики Татарстан </w:t>
      </w:r>
    </w:p>
    <w:p w:rsidR="002C0A8E" w:rsidRDefault="002C0A8E" w:rsidP="002C0A8E">
      <w:pPr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№___ </w:t>
      </w:r>
      <w:r w:rsidRPr="006F4F42">
        <w:rPr>
          <w:spacing w:val="0"/>
          <w:sz w:val="24"/>
          <w:szCs w:val="24"/>
        </w:rPr>
        <w:t>от</w:t>
      </w:r>
      <w:r>
        <w:rPr>
          <w:spacing w:val="0"/>
          <w:sz w:val="24"/>
          <w:szCs w:val="24"/>
        </w:rPr>
        <w:t xml:space="preserve"> «___»__ ________2019</w:t>
      </w:r>
      <w:r w:rsidRPr="006F4F42">
        <w:rPr>
          <w:spacing w:val="0"/>
          <w:sz w:val="24"/>
          <w:szCs w:val="24"/>
        </w:rPr>
        <w:t xml:space="preserve">г. 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</w:p>
    <w:p w:rsidR="002C0A8E" w:rsidRDefault="002C0A8E" w:rsidP="002C0A8E">
      <w:pPr>
        <w:jc w:val="right"/>
        <w:rPr>
          <w:spacing w:val="0"/>
          <w:sz w:val="24"/>
          <w:szCs w:val="24"/>
        </w:rPr>
      </w:pP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 xml:space="preserve">ПОЛОЖЕНИЕ </w:t>
      </w:r>
    </w:p>
    <w:p w:rsidR="002C0A8E" w:rsidRPr="006F4F42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 xml:space="preserve">О РАБОТЕ МЕЖВЕДОМСТВЕННОЙ КОМИССИИ ПО </w:t>
      </w: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 xml:space="preserve">СМЕРТНОСТИ ЮТАЗИНСКОГО МУНИЦИПАЛЬНОГО РАЙОНА </w:t>
      </w:r>
    </w:p>
    <w:p w:rsidR="002C0A8E" w:rsidRPr="006F4F42" w:rsidRDefault="002C0A8E" w:rsidP="002C0A8E">
      <w:pPr>
        <w:jc w:val="center"/>
        <w:outlineLvl w:val="2"/>
        <w:rPr>
          <w:bCs/>
          <w:spacing w:val="0"/>
          <w:szCs w:val="28"/>
        </w:rPr>
      </w:pPr>
      <w:r>
        <w:rPr>
          <w:bCs/>
          <w:spacing w:val="0"/>
          <w:szCs w:val="28"/>
        </w:rPr>
        <w:t>РЕСПУБЛИКИ ТАТАРСТАН</w:t>
      </w: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Default="002C0A8E" w:rsidP="002C0A8E">
      <w:pPr>
        <w:jc w:val="center"/>
        <w:rPr>
          <w:spacing w:val="0"/>
          <w:szCs w:val="28"/>
        </w:rPr>
      </w:pPr>
      <w:r w:rsidRPr="006F4F42">
        <w:rPr>
          <w:spacing w:val="0"/>
          <w:szCs w:val="28"/>
        </w:rPr>
        <w:t>1. Общие положения</w:t>
      </w:r>
    </w:p>
    <w:p w:rsidR="002C0A8E" w:rsidRPr="006F4F42" w:rsidRDefault="002C0A8E" w:rsidP="002C0A8E">
      <w:pPr>
        <w:jc w:val="center"/>
        <w:rPr>
          <w:spacing w:val="0"/>
          <w:szCs w:val="28"/>
        </w:rPr>
      </w:pPr>
    </w:p>
    <w:p w:rsidR="002C0A8E" w:rsidRPr="006F4F42" w:rsidRDefault="002C0A8E" w:rsidP="002C0A8E">
      <w:pPr>
        <w:tabs>
          <w:tab w:val="left" w:pos="709"/>
        </w:tabs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Комиссия по смертности создается постановлением Руководителя Исполнительного комитета Ютазинского муниципального района РТ 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1. Комиссию возглавляет заместитель Руководителя Исполнительного комитета района РТ  по социальным вопросам.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2. В состав комиссии включаются руководители организаций и специалисты учреждения здравоохранения.</w:t>
      </w:r>
    </w:p>
    <w:p w:rsidR="002C0A8E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3. Решения комиссии являются обязательными для исполнения.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</w:p>
    <w:p w:rsidR="002C0A8E" w:rsidRPr="006F4F42" w:rsidRDefault="002C0A8E" w:rsidP="002C0A8E">
      <w:pPr>
        <w:jc w:val="center"/>
        <w:rPr>
          <w:spacing w:val="0"/>
          <w:szCs w:val="28"/>
        </w:rPr>
      </w:pPr>
      <w:r w:rsidRPr="006F4F42">
        <w:rPr>
          <w:spacing w:val="0"/>
          <w:szCs w:val="28"/>
        </w:rPr>
        <w:t>2. Задачи комиссии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1. Проведение анализа причин смертности населения Ютазинского   муниципального района РТ.</w:t>
      </w:r>
    </w:p>
    <w:p w:rsidR="002C0A8E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2. Разработка и принятие экстренных и долгосрочных управленческих решений, направленных на стабилизацию и снижение смертности населения, улучшение качества и организация медицинской помощи.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</w:p>
    <w:p w:rsidR="002C0A8E" w:rsidRPr="006F4F42" w:rsidRDefault="002C0A8E" w:rsidP="002C0A8E">
      <w:pPr>
        <w:jc w:val="center"/>
        <w:rPr>
          <w:spacing w:val="0"/>
          <w:szCs w:val="28"/>
        </w:rPr>
      </w:pPr>
      <w:r w:rsidRPr="006F4F42">
        <w:rPr>
          <w:spacing w:val="0"/>
          <w:szCs w:val="28"/>
        </w:rPr>
        <w:t>3. Права и обязанности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Комиссия имеет право: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1.Выносить решения, обязательные для исполнения организациями и учреждениями района.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2. Запрашивать у руководителей учреждений информацию для работы комиссии.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Комиссия обязана: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1. Проводить динамический анализ показателей смертности населения, в том числе трудоспособного возраста.</w:t>
      </w:r>
    </w:p>
    <w:p w:rsidR="002C0A8E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2. Проводить анализ организации и оказания медицинской помощи населению района.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</w:p>
    <w:p w:rsidR="002C0A8E" w:rsidRPr="006F4F42" w:rsidRDefault="002C0A8E" w:rsidP="002C0A8E">
      <w:pPr>
        <w:jc w:val="center"/>
        <w:rPr>
          <w:spacing w:val="0"/>
          <w:szCs w:val="28"/>
        </w:rPr>
      </w:pPr>
      <w:r w:rsidRPr="006F4F42">
        <w:rPr>
          <w:spacing w:val="0"/>
          <w:szCs w:val="28"/>
        </w:rPr>
        <w:t>4. Организация работы комиссии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1. Заседания комиссии проводятся по мере необходимости, но не реже 1 раза в полугодие.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2. Заседание комиссии считается правомочным при присутствии не менее 2/3 основного состава.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lastRenderedPageBreak/>
        <w:t xml:space="preserve">         3. Секретарь комиссии не менее чем за 7 дней до назначенной даты заседания комиссии предоставляет Председателю комиссии статистический материал анализа смертности населения в соответствии с рассматриваемым вопросом.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4. Внеочередное заседание Комиссии может быть инициировано членом Комиссии с предоставлением обоснованного предложения председателю Комиссии.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5. Решение о проведении внеочередного заседания Комиссии принимается председателем Комиссии.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6. Заседания Комиссии могут проводиться как основным составом, так и в форме открытых заседаний.</w:t>
      </w:r>
    </w:p>
    <w:p w:rsidR="002C0A8E" w:rsidRPr="006F4F42" w:rsidRDefault="002C0A8E" w:rsidP="002C0A8E">
      <w:pPr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7. Заседания Комиссии могут проводиться как в ГАУЗ «Уруссинская ЦРБ», так и в Исполнительном комитете и районном Совете Ютазинского муниципального района Р</w:t>
      </w:r>
      <w:r>
        <w:rPr>
          <w:spacing w:val="0"/>
          <w:szCs w:val="28"/>
        </w:rPr>
        <w:t>еспублики Татарстан</w:t>
      </w:r>
      <w:r w:rsidRPr="006F4F42">
        <w:rPr>
          <w:spacing w:val="0"/>
          <w:szCs w:val="28"/>
        </w:rPr>
        <w:t>.</w:t>
      </w:r>
    </w:p>
    <w:p w:rsidR="002C0A8E" w:rsidRPr="006F4F42" w:rsidRDefault="002C0A8E" w:rsidP="002C0A8E">
      <w:pPr>
        <w:pStyle w:val="1"/>
        <w:ind w:left="720"/>
        <w:jc w:val="both"/>
        <w:rPr>
          <w:rFonts w:ascii="Times New Roman" w:hAnsi="Times New Roman"/>
          <w:sz w:val="28"/>
          <w:szCs w:val="28"/>
        </w:rPr>
      </w:pPr>
    </w:p>
    <w:p w:rsidR="002C0A8E" w:rsidRPr="006F4F42" w:rsidRDefault="002C0A8E" w:rsidP="002C0A8E">
      <w:pPr>
        <w:pStyle w:val="1"/>
        <w:ind w:left="720"/>
        <w:jc w:val="both"/>
        <w:rPr>
          <w:rFonts w:ascii="Times New Roman" w:hAnsi="Times New Roman"/>
          <w:sz w:val="28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rPr>
          <w:spacing w:val="0"/>
          <w:szCs w:val="28"/>
        </w:rPr>
      </w:pPr>
    </w:p>
    <w:p w:rsidR="002C0A8E" w:rsidRPr="006F4F42" w:rsidRDefault="002C0A8E" w:rsidP="002C0A8E">
      <w:pPr>
        <w:contextualSpacing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                             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Приложение №2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Утверждено Постановлением 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>Руководителя Исполнительного комитета</w:t>
      </w:r>
    </w:p>
    <w:p w:rsidR="002C0A8E" w:rsidRPr="006F4F42" w:rsidRDefault="002C0A8E" w:rsidP="002C0A8E">
      <w:pPr>
        <w:jc w:val="right"/>
        <w:rPr>
          <w:spacing w:val="0"/>
          <w:sz w:val="24"/>
          <w:szCs w:val="24"/>
        </w:rPr>
      </w:pPr>
      <w:r w:rsidRPr="006F4F42">
        <w:rPr>
          <w:spacing w:val="0"/>
          <w:sz w:val="24"/>
          <w:szCs w:val="24"/>
        </w:rPr>
        <w:t xml:space="preserve"> Ютазинского муниципального района</w:t>
      </w:r>
    </w:p>
    <w:p w:rsidR="002C0A8E" w:rsidRDefault="002C0A8E" w:rsidP="002C0A8E">
      <w:pPr>
        <w:jc w:val="right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Республики Татарстан </w:t>
      </w:r>
    </w:p>
    <w:p w:rsidR="002C0A8E" w:rsidRDefault="002C0A8E" w:rsidP="002C0A8E">
      <w:pPr>
        <w:ind w:left="5664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    №___ </w:t>
      </w:r>
      <w:r w:rsidRPr="006F4F42">
        <w:rPr>
          <w:spacing w:val="0"/>
          <w:sz w:val="24"/>
          <w:szCs w:val="24"/>
        </w:rPr>
        <w:t>от</w:t>
      </w:r>
      <w:r>
        <w:rPr>
          <w:spacing w:val="0"/>
          <w:sz w:val="24"/>
          <w:szCs w:val="24"/>
        </w:rPr>
        <w:t xml:space="preserve"> «___»_____________2019</w:t>
      </w:r>
      <w:r w:rsidRPr="006F4F42">
        <w:rPr>
          <w:spacing w:val="0"/>
          <w:sz w:val="24"/>
          <w:szCs w:val="24"/>
        </w:rPr>
        <w:t>г</w:t>
      </w:r>
      <w:r>
        <w:rPr>
          <w:spacing w:val="0"/>
          <w:sz w:val="24"/>
          <w:szCs w:val="24"/>
        </w:rPr>
        <w:t>.</w:t>
      </w:r>
    </w:p>
    <w:p w:rsidR="002C0A8E" w:rsidRDefault="002C0A8E" w:rsidP="002C0A8E">
      <w:pPr>
        <w:ind w:left="5664"/>
        <w:rPr>
          <w:spacing w:val="0"/>
          <w:szCs w:val="28"/>
        </w:rPr>
      </w:pPr>
    </w:p>
    <w:p w:rsidR="002C0A8E" w:rsidRDefault="002C0A8E" w:rsidP="002C0A8E">
      <w:pPr>
        <w:ind w:left="5664"/>
        <w:rPr>
          <w:spacing w:val="0"/>
          <w:szCs w:val="28"/>
        </w:rPr>
      </w:pPr>
    </w:p>
    <w:p w:rsidR="002C0A8E" w:rsidRPr="006F4F42" w:rsidRDefault="002C0A8E" w:rsidP="002C0A8E">
      <w:pPr>
        <w:ind w:left="5664"/>
        <w:rPr>
          <w:spacing w:val="0"/>
          <w:szCs w:val="28"/>
        </w:rPr>
      </w:pP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 xml:space="preserve">СОСТАВ </w:t>
      </w: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 xml:space="preserve">МЕЖВЕДОМСТВЕННОЙ КОМИССИИ </w:t>
      </w: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>
        <w:rPr>
          <w:bCs/>
          <w:spacing w:val="0"/>
          <w:szCs w:val="28"/>
        </w:rPr>
        <w:t xml:space="preserve">ПО СМЕРТНОСТИ ЮТАЗИНСКОГО </w:t>
      </w:r>
      <w:r w:rsidRPr="006F4F42">
        <w:rPr>
          <w:bCs/>
          <w:spacing w:val="0"/>
          <w:szCs w:val="28"/>
        </w:rPr>
        <w:t xml:space="preserve">МУНИЦИПАЛЬНОГО РАЙОНА </w:t>
      </w:r>
    </w:p>
    <w:p w:rsidR="002C0A8E" w:rsidRDefault="002C0A8E" w:rsidP="002C0A8E">
      <w:pPr>
        <w:jc w:val="center"/>
        <w:outlineLvl w:val="2"/>
        <w:rPr>
          <w:bCs/>
          <w:spacing w:val="0"/>
          <w:szCs w:val="28"/>
        </w:rPr>
      </w:pPr>
      <w:r w:rsidRPr="006F4F42">
        <w:rPr>
          <w:bCs/>
          <w:spacing w:val="0"/>
          <w:szCs w:val="28"/>
        </w:rPr>
        <w:t>Р</w:t>
      </w:r>
      <w:r>
        <w:rPr>
          <w:bCs/>
          <w:spacing w:val="0"/>
          <w:szCs w:val="28"/>
        </w:rPr>
        <w:t xml:space="preserve">ЕСПУБЛИКИ </w:t>
      </w:r>
      <w:r w:rsidRPr="006F4F42">
        <w:rPr>
          <w:bCs/>
          <w:spacing w:val="0"/>
          <w:szCs w:val="28"/>
        </w:rPr>
        <w:t>Т</w:t>
      </w:r>
      <w:r>
        <w:rPr>
          <w:bCs/>
          <w:spacing w:val="0"/>
          <w:szCs w:val="28"/>
        </w:rPr>
        <w:t>АТАРСТАН</w:t>
      </w:r>
    </w:p>
    <w:p w:rsidR="002C0A8E" w:rsidRPr="006F4F42" w:rsidRDefault="002C0A8E" w:rsidP="002C0A8E">
      <w:pPr>
        <w:jc w:val="center"/>
        <w:outlineLvl w:val="2"/>
        <w:rPr>
          <w:bCs/>
          <w:spacing w:val="0"/>
          <w:szCs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2C0A8E" w:rsidRPr="006F4F42" w:rsidTr="00737DA3">
        <w:tc>
          <w:tcPr>
            <w:tcW w:w="2694" w:type="dxa"/>
            <w:shd w:val="clear" w:color="auto" w:fill="auto"/>
          </w:tcPr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</w:tr>
      <w:tr w:rsidR="002C0A8E" w:rsidRPr="006F4F42" w:rsidTr="00737DA3">
        <w:tc>
          <w:tcPr>
            <w:tcW w:w="2694" w:type="dxa"/>
            <w:shd w:val="clear" w:color="auto" w:fill="FFFFFF"/>
          </w:tcPr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Волкова Д.Т.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Шакирова С.З.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Рахмаева М.А.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</w:tc>
        <w:tc>
          <w:tcPr>
            <w:tcW w:w="6946" w:type="dxa"/>
            <w:shd w:val="clear" w:color="auto" w:fill="FFFFFF"/>
          </w:tcPr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Заместитель руководителя Исполнительного комитета по социальным вопросам Юта</w:t>
            </w:r>
            <w:r>
              <w:rPr>
                <w:rFonts w:eastAsia="Calibri"/>
                <w:spacing w:val="0"/>
                <w:szCs w:val="28"/>
              </w:rPr>
              <w:t xml:space="preserve">зинского муниципального района </w:t>
            </w:r>
            <w:r w:rsidRPr="006F4F42">
              <w:rPr>
                <w:rFonts w:eastAsia="Calibri"/>
                <w:spacing w:val="0"/>
                <w:szCs w:val="28"/>
              </w:rPr>
              <w:t xml:space="preserve">-  председатель </w:t>
            </w:r>
            <w:r>
              <w:rPr>
                <w:rFonts w:eastAsia="Calibri"/>
                <w:spacing w:val="0"/>
                <w:szCs w:val="28"/>
              </w:rPr>
              <w:t xml:space="preserve">                                   </w:t>
            </w:r>
            <w:r w:rsidRPr="006F4F42">
              <w:rPr>
                <w:rFonts w:eastAsia="Calibri"/>
                <w:spacing w:val="0"/>
                <w:szCs w:val="28"/>
              </w:rPr>
              <w:t>(по согласованию);</w:t>
            </w: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Главный врач ГАУЗ «Уруссинская ЦРБ»</w:t>
            </w: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заместитель председателя (по согласованию);</w:t>
            </w: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старший фельдшер организационно- мето</w:t>
            </w:r>
            <w:r>
              <w:rPr>
                <w:rFonts w:eastAsia="Calibri"/>
                <w:spacing w:val="0"/>
                <w:szCs w:val="28"/>
              </w:rPr>
              <w:t>дического кабинета ГАУЗ «УЦРБ»</w:t>
            </w:r>
            <w:r w:rsidRPr="006F4F42">
              <w:rPr>
                <w:rFonts w:eastAsia="Calibri"/>
                <w:spacing w:val="0"/>
                <w:szCs w:val="28"/>
              </w:rPr>
              <w:t xml:space="preserve"> - секретарь (по согласованию);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spacing w:val="0"/>
                <w:szCs w:val="28"/>
              </w:rPr>
            </w:pPr>
          </w:p>
        </w:tc>
      </w:tr>
      <w:tr w:rsidR="002C0A8E" w:rsidRPr="006F4F42" w:rsidTr="00737DA3">
        <w:tc>
          <w:tcPr>
            <w:tcW w:w="2694" w:type="dxa"/>
            <w:shd w:val="clear" w:color="auto" w:fill="auto"/>
          </w:tcPr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Члены комиссии: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Хисамова С.А.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Фаррахова З.М.</w:t>
            </w: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rPr>
                <w:rFonts w:eastAsia="Calibri"/>
                <w:bCs/>
                <w:spacing w:val="0"/>
                <w:szCs w:val="28"/>
              </w:rPr>
            </w:pPr>
            <w:r w:rsidRPr="006F4F42">
              <w:rPr>
                <w:rFonts w:eastAsia="Calibri"/>
                <w:bCs/>
                <w:spacing w:val="0"/>
                <w:szCs w:val="28"/>
              </w:rPr>
              <w:t>Миннивалеев Н.Н.</w:t>
            </w:r>
          </w:p>
        </w:tc>
        <w:tc>
          <w:tcPr>
            <w:tcW w:w="6946" w:type="dxa"/>
            <w:shd w:val="clear" w:color="auto" w:fill="auto"/>
          </w:tcPr>
          <w:p w:rsidR="002C0A8E" w:rsidRPr="006F4F42" w:rsidRDefault="002C0A8E" w:rsidP="00737DA3">
            <w:pPr>
              <w:contextualSpacing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Заместитель главного врача ГАУЗ «УЦРБ» Ютазинского муниципального района РТ (по согласованию);</w:t>
            </w:r>
          </w:p>
          <w:p w:rsidR="002C0A8E" w:rsidRPr="006F4F42" w:rsidRDefault="002C0A8E" w:rsidP="00737DA3">
            <w:pPr>
              <w:jc w:val="both"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Начальник отдела ЗАГС Ютазинского муниципального района РТ (по согласованию);</w:t>
            </w: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</w:p>
          <w:p w:rsidR="002C0A8E" w:rsidRPr="006F4F42" w:rsidRDefault="002C0A8E" w:rsidP="00737DA3">
            <w:pPr>
              <w:contextualSpacing/>
              <w:jc w:val="both"/>
              <w:rPr>
                <w:rFonts w:eastAsia="Calibri"/>
                <w:spacing w:val="0"/>
                <w:szCs w:val="28"/>
              </w:rPr>
            </w:pPr>
            <w:r w:rsidRPr="006F4F42">
              <w:rPr>
                <w:rFonts w:eastAsia="Calibri"/>
                <w:spacing w:val="0"/>
                <w:szCs w:val="28"/>
              </w:rPr>
              <w:t>Директор ГКУ «Центр занятости» Ютазинского муниципального района РТ (по согласованию).</w:t>
            </w:r>
          </w:p>
        </w:tc>
      </w:tr>
    </w:tbl>
    <w:p w:rsidR="002C0A8E" w:rsidRPr="006F4F42" w:rsidRDefault="002C0A8E" w:rsidP="002C0A8E">
      <w:pPr>
        <w:tabs>
          <w:tab w:val="center" w:pos="4677"/>
        </w:tabs>
        <w:rPr>
          <w:spacing w:val="0"/>
          <w:szCs w:val="28"/>
        </w:rPr>
      </w:pPr>
    </w:p>
    <w:p w:rsidR="002C0A8E" w:rsidRPr="006F4F42" w:rsidRDefault="002C0A8E" w:rsidP="002C0A8E">
      <w:pPr>
        <w:tabs>
          <w:tab w:val="center" w:pos="4677"/>
        </w:tabs>
        <w:rPr>
          <w:spacing w:val="0"/>
          <w:szCs w:val="28"/>
        </w:rPr>
      </w:pPr>
      <w:r w:rsidRPr="006F4F42">
        <w:rPr>
          <w:spacing w:val="0"/>
          <w:szCs w:val="28"/>
        </w:rPr>
        <w:t xml:space="preserve"> Сибагатов М.В.     </w:t>
      </w:r>
      <w:r w:rsidRPr="006F4F42">
        <w:rPr>
          <w:spacing w:val="0"/>
          <w:szCs w:val="28"/>
        </w:rPr>
        <w:tab/>
        <w:t xml:space="preserve">       Начальник отдела МВД России по Ютазинскому  </w:t>
      </w:r>
    </w:p>
    <w:p w:rsidR="002C0A8E" w:rsidRPr="006F4F42" w:rsidRDefault="002C0A8E" w:rsidP="002C0A8E">
      <w:pPr>
        <w:tabs>
          <w:tab w:val="left" w:pos="2835"/>
          <w:tab w:val="center" w:pos="4677"/>
        </w:tabs>
        <w:rPr>
          <w:rFonts w:eastAsia="Calibri"/>
          <w:spacing w:val="0"/>
          <w:szCs w:val="28"/>
        </w:rPr>
      </w:pPr>
      <w:r w:rsidRPr="006F4F42">
        <w:rPr>
          <w:spacing w:val="0"/>
          <w:szCs w:val="28"/>
        </w:rPr>
        <w:t xml:space="preserve">                                        муниципальному району РТ </w:t>
      </w:r>
      <w:r w:rsidRPr="006F4F42">
        <w:rPr>
          <w:rFonts w:eastAsia="Calibri"/>
          <w:spacing w:val="0"/>
          <w:szCs w:val="28"/>
        </w:rPr>
        <w:t>(по согласованию);</w:t>
      </w:r>
    </w:p>
    <w:p w:rsidR="002C0A8E" w:rsidRPr="006F4F42" w:rsidRDefault="002C0A8E" w:rsidP="002C0A8E">
      <w:pPr>
        <w:tabs>
          <w:tab w:val="left" w:pos="2835"/>
          <w:tab w:val="center" w:pos="4677"/>
        </w:tabs>
        <w:rPr>
          <w:spacing w:val="0"/>
          <w:szCs w:val="28"/>
        </w:rPr>
      </w:pPr>
      <w:r w:rsidRPr="006F4F42">
        <w:rPr>
          <w:spacing w:val="0"/>
          <w:szCs w:val="28"/>
        </w:rPr>
        <w:t xml:space="preserve">                                                 </w:t>
      </w:r>
    </w:p>
    <w:p w:rsidR="002C0A8E" w:rsidRPr="006F4F42" w:rsidRDefault="002C0A8E" w:rsidP="002C0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0"/>
          <w:szCs w:val="28"/>
        </w:rPr>
      </w:pPr>
      <w:r w:rsidRPr="006F4F42">
        <w:rPr>
          <w:spacing w:val="0"/>
          <w:szCs w:val="28"/>
        </w:rPr>
        <w:t xml:space="preserve"> Рашитова З.А.             Начальника отдела социальной защиты  и МТЗ и  </w:t>
      </w:r>
    </w:p>
    <w:p w:rsidR="002C0A8E" w:rsidRPr="006F4F42" w:rsidRDefault="002C0A8E" w:rsidP="002C0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pacing w:val="0"/>
          <w:szCs w:val="28"/>
        </w:rPr>
      </w:pPr>
      <w:r w:rsidRPr="006F4F42">
        <w:rPr>
          <w:spacing w:val="0"/>
          <w:szCs w:val="28"/>
        </w:rPr>
        <w:tab/>
      </w:r>
      <w:r w:rsidRPr="006F4F42">
        <w:rPr>
          <w:spacing w:val="0"/>
          <w:szCs w:val="28"/>
        </w:rPr>
        <w:tab/>
        <w:t xml:space="preserve">             СЗ РТ в Ютазинском муниципальном районе РТ</w:t>
      </w:r>
      <w:r w:rsidRPr="006F4F42">
        <w:rPr>
          <w:i/>
          <w:spacing w:val="0"/>
          <w:szCs w:val="28"/>
        </w:rPr>
        <w:t xml:space="preserve">    </w:t>
      </w:r>
    </w:p>
    <w:p w:rsidR="002C0A8E" w:rsidRPr="00025222" w:rsidRDefault="002C0A8E" w:rsidP="002C0A8E">
      <w:pPr>
        <w:tabs>
          <w:tab w:val="left" w:pos="2748"/>
        </w:tabs>
        <w:rPr>
          <w:spacing w:val="0"/>
          <w:szCs w:val="28"/>
        </w:rPr>
      </w:pPr>
      <w:r w:rsidRPr="006F4F42">
        <w:rPr>
          <w:spacing w:val="0"/>
          <w:szCs w:val="28"/>
        </w:rPr>
        <w:tab/>
      </w:r>
      <w:r w:rsidRPr="00025222">
        <w:rPr>
          <w:spacing w:val="0"/>
          <w:szCs w:val="28"/>
        </w:rPr>
        <w:t>(по согласованию)</w:t>
      </w:r>
    </w:p>
    <w:p w:rsidR="002C0A8E" w:rsidRPr="006F4F42" w:rsidRDefault="002C0A8E" w:rsidP="002C0A8E">
      <w:pPr>
        <w:tabs>
          <w:tab w:val="left" w:pos="2748"/>
        </w:tabs>
        <w:rPr>
          <w:i/>
          <w:spacing w:val="0"/>
          <w:szCs w:val="28"/>
        </w:rPr>
      </w:pPr>
    </w:p>
    <w:p w:rsidR="002C0A8E" w:rsidRPr="006F4F42" w:rsidRDefault="002C0A8E" w:rsidP="002C0A8E">
      <w:pPr>
        <w:pStyle w:val="1"/>
        <w:spacing w:line="360" w:lineRule="auto"/>
        <w:jc w:val="left"/>
        <w:rPr>
          <w:rFonts w:ascii="Times New Roman" w:hAnsi="Times New Roman"/>
          <w:sz w:val="28"/>
          <w:szCs w:val="28"/>
        </w:rPr>
      </w:pPr>
    </w:p>
    <w:p w:rsidR="00A94296" w:rsidRDefault="00A94296"/>
    <w:sectPr w:rsidR="00A94296" w:rsidSect="006F4F42">
      <w:footerReference w:type="default" r:id="rId6"/>
      <w:pgSz w:w="11906" w:h="16838" w:code="9"/>
      <w:pgMar w:top="851" w:right="851" w:bottom="851" w:left="1418" w:header="16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5E" w:rsidRDefault="00374D5E">
      <w:r>
        <w:separator/>
      </w:r>
    </w:p>
  </w:endnote>
  <w:endnote w:type="continuationSeparator" w:id="0">
    <w:p w:rsidR="00374D5E" w:rsidRDefault="0037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C39" w:rsidRDefault="00374D5E" w:rsidP="00326B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5E" w:rsidRDefault="00374D5E">
      <w:r>
        <w:separator/>
      </w:r>
    </w:p>
  </w:footnote>
  <w:footnote w:type="continuationSeparator" w:id="0">
    <w:p w:rsidR="00374D5E" w:rsidRDefault="00374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55"/>
    <w:rsid w:val="000F36E3"/>
    <w:rsid w:val="002C0A8E"/>
    <w:rsid w:val="00374D5E"/>
    <w:rsid w:val="00A94296"/>
    <w:rsid w:val="00D4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00C7"/>
  <w15:chartTrackingRefBased/>
  <w15:docId w15:val="{66CD9E12-CB04-4126-BA4A-B74A8ACF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8E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0A8E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A8E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footer"/>
    <w:basedOn w:val="a"/>
    <w:link w:val="a4"/>
    <w:rsid w:val="002C0A8E"/>
    <w:pPr>
      <w:widowControl w:val="0"/>
      <w:tabs>
        <w:tab w:val="center" w:pos="4153"/>
        <w:tab w:val="right" w:pos="8306"/>
      </w:tabs>
    </w:pPr>
    <w:rPr>
      <w:spacing w:val="0"/>
      <w:szCs w:val="28"/>
    </w:rPr>
  </w:style>
  <w:style w:type="character" w:customStyle="1" w:styleId="a4">
    <w:name w:val="Нижний колонтитул Знак"/>
    <w:basedOn w:val="a0"/>
    <w:link w:val="a3"/>
    <w:rsid w:val="002C0A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A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0A8E"/>
    <w:rPr>
      <w:rFonts w:ascii="Segoe UI" w:eastAsia="Times New Roman" w:hAnsi="Segoe UI" w:cs="Segoe UI"/>
      <w:spacing w:val="2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2019-03-12T11:38:00Z</cp:lastPrinted>
  <dcterms:created xsi:type="dcterms:W3CDTF">2019-03-12T11:38:00Z</dcterms:created>
  <dcterms:modified xsi:type="dcterms:W3CDTF">2019-03-14T07:13:00Z</dcterms:modified>
</cp:coreProperties>
</file>