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8845B0" w:rsidRPr="00D731D0" w:rsidTr="0089019A">
        <w:trPr>
          <w:trHeight w:val="1232"/>
        </w:trPr>
        <w:tc>
          <w:tcPr>
            <w:tcW w:w="4324" w:type="dxa"/>
            <w:shd w:val="clear" w:color="auto" w:fill="auto"/>
          </w:tcPr>
          <w:p w:rsidR="00C77E05" w:rsidRPr="00D731D0" w:rsidRDefault="00C77E05" w:rsidP="000315E6">
            <w:pPr>
              <w:spacing w:after="0" w:line="240" w:lineRule="auto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>ИСПОЛНИТЕЛЬН</w:t>
            </w:r>
            <w:r w:rsidR="000315E6"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>ый</w:t>
            </w:r>
            <w:r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КОМИТЕТ</w:t>
            </w:r>
            <w:r w:rsidR="000315E6"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</w:t>
            </w:r>
            <w:r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 </w:t>
            </w:r>
            <w:r w:rsidR="000315E6"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АКБАШСКОГО СЕЛЬСКОГО ПОСЕЛЕНИЯ </w:t>
            </w:r>
            <w:r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>ЮТАЗИНСКОГО МУНИЦИПАЛЬНОГО РАЙОНА</w:t>
            </w:r>
            <w:r w:rsidR="00F50C15"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C52959" w:rsidRPr="00D731D0" w:rsidRDefault="002A6559" w:rsidP="000315E6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>ул.</w:t>
            </w:r>
            <w:r w:rsidR="000315E6" w:rsidRPr="00D731D0">
              <w:rPr>
                <w:rFonts w:ascii="Arial" w:hAnsi="Arial" w:cs="Arial"/>
                <w:sz w:val="20"/>
                <w:szCs w:val="20"/>
                <w:lang w:val="tt-RU"/>
              </w:rPr>
              <w:t>Гоголя</w:t>
            </w: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>, д.</w:t>
            </w:r>
            <w:r w:rsidR="000315E6" w:rsidRPr="00D731D0">
              <w:rPr>
                <w:rFonts w:ascii="Arial" w:hAnsi="Arial" w:cs="Arial"/>
                <w:sz w:val="20"/>
                <w:szCs w:val="20"/>
                <w:lang w:val="tt-RU"/>
              </w:rPr>
              <w:t>1</w:t>
            </w: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 xml:space="preserve">, </w:t>
            </w:r>
            <w:r w:rsidR="000315E6" w:rsidRPr="00D731D0">
              <w:rPr>
                <w:rFonts w:ascii="Arial" w:hAnsi="Arial" w:cs="Arial"/>
                <w:sz w:val="20"/>
                <w:szCs w:val="20"/>
                <w:lang w:val="tt-RU"/>
              </w:rPr>
              <w:t>с.Акбаш</w:t>
            </w: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>, 42395</w:t>
            </w:r>
            <w:r w:rsidR="000315E6" w:rsidRPr="00D731D0">
              <w:rPr>
                <w:rFonts w:ascii="Arial" w:hAnsi="Arial" w:cs="Arial"/>
                <w:sz w:val="20"/>
                <w:szCs w:val="20"/>
                <w:lang w:val="tt-RU"/>
              </w:rPr>
              <w:t>8</w:t>
            </w:r>
          </w:p>
        </w:tc>
        <w:tc>
          <w:tcPr>
            <w:tcW w:w="1148" w:type="dxa"/>
            <w:shd w:val="clear" w:color="auto" w:fill="auto"/>
          </w:tcPr>
          <w:p w:rsidR="008845B0" w:rsidRPr="00D731D0" w:rsidRDefault="008845B0" w:rsidP="0089019A">
            <w:pPr>
              <w:spacing w:after="0" w:line="240" w:lineRule="auto"/>
              <w:ind w:left="-108" w:right="-41"/>
              <w:jc w:val="center"/>
              <w:rPr>
                <w:rFonts w:ascii="Arial" w:hAnsi="Arial" w:cs="Arial"/>
              </w:rPr>
            </w:pPr>
          </w:p>
        </w:tc>
        <w:tc>
          <w:tcPr>
            <w:tcW w:w="4257" w:type="dxa"/>
            <w:shd w:val="clear" w:color="auto" w:fill="auto"/>
          </w:tcPr>
          <w:p w:rsidR="00F50C15" w:rsidRPr="00D731D0" w:rsidRDefault="002A6559" w:rsidP="0089019A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татарстан </w:t>
            </w:r>
            <w:r w:rsidR="00B93037"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>р</w:t>
            </w:r>
            <w:r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еспубликасы </w:t>
            </w:r>
            <w:r w:rsidR="00C77E05"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ЮТАЗЫ </w:t>
            </w:r>
          </w:p>
          <w:p w:rsidR="00C77E05" w:rsidRPr="00D731D0" w:rsidRDefault="00C77E05" w:rsidP="0089019A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МУНИЦИПАЛЬ РАЙОНЫ </w:t>
            </w:r>
            <w:r w:rsidR="000315E6"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>АКБАШ АВЫЛ ҖИРЛЕГЕ</w:t>
            </w:r>
          </w:p>
          <w:p w:rsidR="00C77E05" w:rsidRPr="00D731D0" w:rsidRDefault="00C77E05" w:rsidP="0089019A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БАШКАРМА  КОМИТЕТЫ </w:t>
            </w:r>
            <w:r w:rsidR="000315E6" w:rsidRPr="00D731D0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</w:t>
            </w:r>
          </w:p>
          <w:p w:rsidR="008845B0" w:rsidRPr="00D731D0" w:rsidRDefault="000315E6" w:rsidP="000315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>Гоголь</w:t>
            </w:r>
            <w:r w:rsidR="00B93037" w:rsidRPr="00D731D0">
              <w:rPr>
                <w:rFonts w:ascii="Arial" w:hAnsi="Arial" w:cs="Arial"/>
                <w:sz w:val="20"/>
                <w:szCs w:val="20"/>
              </w:rPr>
              <w:t xml:space="preserve"> урамы, </w:t>
            </w: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 xml:space="preserve">1 </w:t>
            </w:r>
            <w:r w:rsidR="00D82B8C" w:rsidRPr="00D731D0">
              <w:rPr>
                <w:rFonts w:ascii="Arial" w:hAnsi="Arial" w:cs="Arial"/>
                <w:sz w:val="20"/>
                <w:szCs w:val="20"/>
              </w:rPr>
              <w:t>йорт</w:t>
            </w:r>
            <w:r w:rsidR="00B93037" w:rsidRPr="00D731D0">
              <w:rPr>
                <w:rFonts w:ascii="Arial" w:hAnsi="Arial" w:cs="Arial"/>
                <w:sz w:val="20"/>
                <w:szCs w:val="20"/>
                <w:lang w:val="tt-RU"/>
              </w:rPr>
              <w:t>,</w:t>
            </w:r>
            <w:r w:rsidR="00D82B8C" w:rsidRPr="00D731D0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>Акбаш ав</w:t>
            </w:r>
            <w:r w:rsidR="000641BC" w:rsidRPr="00D731D0">
              <w:rPr>
                <w:rFonts w:ascii="Arial" w:hAnsi="Arial" w:cs="Arial"/>
                <w:sz w:val="20"/>
                <w:szCs w:val="20"/>
                <w:lang w:val="tt-RU"/>
              </w:rPr>
              <w:t>ы</w:t>
            </w: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>лы</w:t>
            </w:r>
            <w:r w:rsidR="002B7B19" w:rsidRPr="00D731D0">
              <w:rPr>
                <w:rFonts w:ascii="Arial" w:hAnsi="Arial" w:cs="Arial"/>
                <w:sz w:val="20"/>
                <w:szCs w:val="20"/>
                <w:lang w:val="tt-RU"/>
              </w:rPr>
              <w:t>,</w:t>
            </w:r>
            <w:r w:rsidR="00B93037" w:rsidRPr="00D73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037" w:rsidRPr="00D731D0">
              <w:rPr>
                <w:rFonts w:ascii="Arial" w:hAnsi="Arial" w:cs="Arial"/>
                <w:sz w:val="20"/>
                <w:szCs w:val="20"/>
                <w:lang w:val="tt-RU"/>
              </w:rPr>
              <w:t>42395</w:t>
            </w: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>8</w:t>
            </w:r>
          </w:p>
        </w:tc>
      </w:tr>
      <w:tr w:rsidR="00B93037" w:rsidRPr="00D731D0" w:rsidTr="0089019A">
        <w:trPr>
          <w:trHeight w:val="375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93037" w:rsidRPr="00D731D0" w:rsidRDefault="00B93037" w:rsidP="0089019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tt-RU"/>
              </w:rPr>
            </w:pPr>
          </w:p>
          <w:p w:rsidR="00B93037" w:rsidRPr="00D731D0" w:rsidRDefault="00C3554A" w:rsidP="000315E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D731D0">
              <w:rPr>
                <w:rFonts w:ascii="Arial" w:hAnsi="Arial" w:cs="Arial"/>
                <w:sz w:val="20"/>
                <w:szCs w:val="20"/>
                <w:lang w:val="tt-RU"/>
              </w:rPr>
              <w:t>Т</w:t>
            </w:r>
            <w:r w:rsidR="0050312B" w:rsidRPr="00D731D0">
              <w:rPr>
                <w:rFonts w:ascii="Arial" w:hAnsi="Arial" w:cs="Arial"/>
                <w:sz w:val="20"/>
                <w:szCs w:val="20"/>
              </w:rPr>
              <w:t>ел.</w:t>
            </w:r>
            <w:r w:rsidR="000315E6" w:rsidRPr="00D731D0">
              <w:rPr>
                <w:rFonts w:ascii="Arial" w:hAnsi="Arial" w:cs="Arial"/>
                <w:sz w:val="20"/>
                <w:szCs w:val="20"/>
              </w:rPr>
              <w:t xml:space="preserve">/факс: </w:t>
            </w:r>
            <w:r w:rsidR="0050312B" w:rsidRPr="00D731D0">
              <w:rPr>
                <w:rFonts w:ascii="Arial" w:hAnsi="Arial" w:cs="Arial"/>
                <w:sz w:val="20"/>
                <w:szCs w:val="20"/>
              </w:rPr>
              <w:t xml:space="preserve">(85593) </w:t>
            </w:r>
            <w:r w:rsidR="000315E6" w:rsidRPr="00D731D0">
              <w:rPr>
                <w:rFonts w:ascii="Arial" w:hAnsi="Arial" w:cs="Arial"/>
                <w:sz w:val="20"/>
                <w:szCs w:val="20"/>
              </w:rPr>
              <w:t>4-14-34</w:t>
            </w:r>
            <w:r w:rsidR="00224658" w:rsidRPr="00D731D0">
              <w:rPr>
                <w:rFonts w:ascii="Arial" w:hAnsi="Arial" w:cs="Arial"/>
                <w:sz w:val="20"/>
                <w:szCs w:val="20"/>
                <w:lang w:val="tt-RU"/>
              </w:rPr>
              <w:t>,</w:t>
            </w:r>
            <w:r w:rsidR="0050312B" w:rsidRPr="00D731D0">
              <w:rPr>
                <w:rFonts w:ascii="Arial" w:hAnsi="Arial" w:cs="Arial"/>
                <w:sz w:val="20"/>
                <w:szCs w:val="20"/>
                <w:lang w:val="tt-RU"/>
              </w:rPr>
              <w:t xml:space="preserve"> e-mail:</w:t>
            </w:r>
            <w:r w:rsidR="000315E6" w:rsidRPr="00D731D0">
              <w:rPr>
                <w:rFonts w:ascii="Arial" w:hAnsi="Arial" w:cs="Arial"/>
                <w:sz w:val="20"/>
                <w:szCs w:val="20"/>
              </w:rPr>
              <w:t xml:space="preserve"> Akbash.Utz@tatar.ru</w:t>
            </w:r>
          </w:p>
        </w:tc>
      </w:tr>
    </w:tbl>
    <w:p w:rsidR="00DD07A0" w:rsidRPr="00D731D0" w:rsidRDefault="00DD07A0" w:rsidP="00DD07A0">
      <w:pPr>
        <w:spacing w:after="0"/>
        <w:rPr>
          <w:rFonts w:ascii="Arial" w:hAnsi="Arial" w:cs="Arial"/>
          <w:sz w:val="20"/>
          <w:szCs w:val="20"/>
        </w:rPr>
      </w:pPr>
    </w:p>
    <w:p w:rsidR="00DD07A0" w:rsidRPr="00D731D0" w:rsidRDefault="00DD07A0" w:rsidP="00DD07A0">
      <w:pPr>
        <w:tabs>
          <w:tab w:val="left" w:pos="6672"/>
        </w:tabs>
        <w:spacing w:after="0"/>
        <w:rPr>
          <w:rFonts w:ascii="Arial" w:hAnsi="Arial" w:cs="Arial"/>
          <w:b/>
          <w:sz w:val="28"/>
          <w:szCs w:val="28"/>
          <w:lang w:val="tt-RU"/>
        </w:rPr>
      </w:pPr>
      <w:r w:rsidRPr="00D731D0">
        <w:rPr>
          <w:rFonts w:ascii="Arial" w:hAnsi="Arial" w:cs="Arial"/>
          <w:b/>
          <w:sz w:val="20"/>
          <w:szCs w:val="20"/>
          <w:lang w:val="tt-RU"/>
        </w:rPr>
        <w:t xml:space="preserve">  </w:t>
      </w:r>
      <w:r w:rsidRPr="00D731D0">
        <w:rPr>
          <w:rFonts w:ascii="Arial" w:hAnsi="Arial" w:cs="Arial"/>
          <w:b/>
          <w:sz w:val="28"/>
          <w:szCs w:val="28"/>
          <w:lang w:val="tt-RU"/>
        </w:rPr>
        <w:t xml:space="preserve">ПОСТАНОВЛЕНИЕ                      </w:t>
      </w:r>
      <w:r w:rsidRPr="00D731D0">
        <w:rPr>
          <w:rFonts w:ascii="Arial" w:hAnsi="Arial" w:cs="Arial"/>
          <w:b/>
          <w:sz w:val="28"/>
          <w:szCs w:val="28"/>
          <w:lang w:val="tt-RU"/>
        </w:rPr>
        <w:tab/>
        <w:t xml:space="preserve">КАРАР   </w:t>
      </w:r>
    </w:p>
    <w:p w:rsidR="00DD07A0" w:rsidRPr="00D731D0" w:rsidRDefault="00DD07A0" w:rsidP="00DD07A0">
      <w:pPr>
        <w:spacing w:after="0"/>
        <w:rPr>
          <w:rFonts w:ascii="Arial" w:hAnsi="Arial" w:cs="Arial"/>
          <w:b/>
          <w:sz w:val="28"/>
          <w:szCs w:val="28"/>
        </w:rPr>
      </w:pPr>
      <w:r w:rsidRPr="00D731D0">
        <w:rPr>
          <w:rFonts w:ascii="Arial" w:hAnsi="Arial" w:cs="Arial"/>
          <w:b/>
          <w:sz w:val="28"/>
          <w:szCs w:val="28"/>
        </w:rPr>
        <w:t xml:space="preserve">      №</w:t>
      </w:r>
      <w:r w:rsidR="007711F7" w:rsidRPr="00D731D0">
        <w:rPr>
          <w:rFonts w:ascii="Arial" w:hAnsi="Arial" w:cs="Arial"/>
          <w:b/>
          <w:sz w:val="28"/>
          <w:szCs w:val="28"/>
        </w:rPr>
        <w:t xml:space="preserve"> </w:t>
      </w:r>
      <w:r w:rsidR="00E30CD2">
        <w:rPr>
          <w:rFonts w:ascii="Arial" w:hAnsi="Arial" w:cs="Arial"/>
          <w:b/>
          <w:sz w:val="28"/>
          <w:szCs w:val="28"/>
        </w:rPr>
        <w:t xml:space="preserve"> </w:t>
      </w:r>
      <w:r w:rsidRPr="00D731D0"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  <w:r w:rsidR="00FF70E9" w:rsidRPr="00D731D0">
        <w:rPr>
          <w:rFonts w:ascii="Arial" w:hAnsi="Arial" w:cs="Arial"/>
          <w:b/>
          <w:sz w:val="28"/>
          <w:szCs w:val="28"/>
        </w:rPr>
        <w:t xml:space="preserve"> </w:t>
      </w:r>
      <w:r w:rsidRPr="00D731D0">
        <w:rPr>
          <w:rFonts w:ascii="Arial" w:hAnsi="Arial" w:cs="Arial"/>
          <w:b/>
          <w:sz w:val="28"/>
          <w:szCs w:val="28"/>
        </w:rPr>
        <w:t xml:space="preserve">   «</w:t>
      </w:r>
      <w:r w:rsidR="003F5A2F" w:rsidRPr="00D731D0">
        <w:rPr>
          <w:rFonts w:ascii="Arial" w:hAnsi="Arial" w:cs="Arial"/>
          <w:b/>
          <w:sz w:val="28"/>
          <w:szCs w:val="28"/>
        </w:rPr>
        <w:t xml:space="preserve"> </w:t>
      </w:r>
      <w:r w:rsidR="00E30CD2">
        <w:rPr>
          <w:rFonts w:ascii="Arial" w:hAnsi="Arial" w:cs="Arial"/>
          <w:b/>
          <w:sz w:val="28"/>
          <w:szCs w:val="28"/>
        </w:rPr>
        <w:t xml:space="preserve"> </w:t>
      </w:r>
      <w:r w:rsidR="002818AC" w:rsidRPr="00D731D0">
        <w:rPr>
          <w:rFonts w:ascii="Arial" w:hAnsi="Arial" w:cs="Arial"/>
          <w:b/>
          <w:sz w:val="28"/>
          <w:szCs w:val="28"/>
        </w:rPr>
        <w:t xml:space="preserve"> </w:t>
      </w:r>
      <w:r w:rsidR="007711F7" w:rsidRPr="00D731D0">
        <w:rPr>
          <w:rFonts w:ascii="Arial" w:hAnsi="Arial" w:cs="Arial"/>
          <w:b/>
          <w:sz w:val="28"/>
          <w:szCs w:val="28"/>
        </w:rPr>
        <w:t xml:space="preserve"> </w:t>
      </w:r>
      <w:r w:rsidRPr="00D731D0">
        <w:rPr>
          <w:rFonts w:ascii="Arial" w:hAnsi="Arial" w:cs="Arial"/>
          <w:b/>
          <w:sz w:val="28"/>
          <w:szCs w:val="28"/>
        </w:rPr>
        <w:t xml:space="preserve">» </w:t>
      </w:r>
      <w:r w:rsidR="007711F7" w:rsidRPr="00D731D0">
        <w:rPr>
          <w:rFonts w:ascii="Arial" w:hAnsi="Arial" w:cs="Arial"/>
          <w:b/>
          <w:sz w:val="28"/>
          <w:szCs w:val="28"/>
        </w:rPr>
        <w:t xml:space="preserve"> </w:t>
      </w:r>
      <w:r w:rsidR="00E30CD2">
        <w:rPr>
          <w:rFonts w:ascii="Arial" w:hAnsi="Arial" w:cs="Arial"/>
          <w:b/>
          <w:sz w:val="28"/>
          <w:szCs w:val="28"/>
        </w:rPr>
        <w:t xml:space="preserve"> </w:t>
      </w:r>
      <w:r w:rsidR="002818AC" w:rsidRPr="00D731D0">
        <w:rPr>
          <w:rFonts w:ascii="Arial" w:hAnsi="Arial" w:cs="Arial"/>
          <w:b/>
          <w:sz w:val="28"/>
          <w:szCs w:val="28"/>
        </w:rPr>
        <w:t xml:space="preserve"> </w:t>
      </w:r>
      <w:r w:rsidRPr="00D731D0">
        <w:rPr>
          <w:rFonts w:ascii="Arial" w:hAnsi="Arial" w:cs="Arial"/>
          <w:b/>
          <w:sz w:val="28"/>
          <w:szCs w:val="28"/>
        </w:rPr>
        <w:t>20</w:t>
      </w:r>
      <w:r w:rsidR="007711F7" w:rsidRPr="00D731D0">
        <w:rPr>
          <w:rFonts w:ascii="Arial" w:hAnsi="Arial" w:cs="Arial"/>
          <w:b/>
          <w:sz w:val="28"/>
          <w:szCs w:val="28"/>
        </w:rPr>
        <w:t>20</w:t>
      </w:r>
      <w:r w:rsidR="003F5A2F" w:rsidRPr="00D731D0">
        <w:rPr>
          <w:rFonts w:ascii="Arial" w:hAnsi="Arial" w:cs="Arial"/>
          <w:b/>
          <w:sz w:val="28"/>
          <w:szCs w:val="28"/>
        </w:rPr>
        <w:t xml:space="preserve"> </w:t>
      </w:r>
      <w:r w:rsidRPr="00D731D0">
        <w:rPr>
          <w:rFonts w:ascii="Arial" w:hAnsi="Arial" w:cs="Arial"/>
          <w:b/>
          <w:sz w:val="28"/>
          <w:szCs w:val="28"/>
          <w:lang w:val="tt-RU"/>
        </w:rPr>
        <w:t xml:space="preserve"> </w:t>
      </w:r>
      <w:r w:rsidRPr="00D731D0">
        <w:rPr>
          <w:rFonts w:ascii="Arial" w:hAnsi="Arial" w:cs="Arial"/>
          <w:b/>
          <w:sz w:val="28"/>
          <w:szCs w:val="28"/>
        </w:rPr>
        <w:t>г.</w:t>
      </w:r>
    </w:p>
    <w:p w:rsidR="00C12914" w:rsidRPr="00D731D0" w:rsidRDefault="00C12914" w:rsidP="00DD07A0">
      <w:pPr>
        <w:spacing w:after="0"/>
        <w:rPr>
          <w:rFonts w:ascii="Arial" w:hAnsi="Arial" w:cs="Arial"/>
          <w:b/>
          <w:sz w:val="28"/>
          <w:szCs w:val="28"/>
          <w:lang w:val="tt-RU"/>
        </w:rPr>
      </w:pPr>
    </w:p>
    <w:p w:rsidR="004D1C58" w:rsidRPr="00D731D0" w:rsidRDefault="004D1C58" w:rsidP="004D1C58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Об утверждении Порядка формирования перечня налоговых расходов и оценки налоговых расходов в муниципальном образовании «Акбашское сельское поселение Ютазинского муниципального района Республики Татарстан» в 2020 году</w:t>
      </w:r>
    </w:p>
    <w:p w:rsidR="004D1C58" w:rsidRPr="00D731D0" w:rsidRDefault="004D1C58" w:rsidP="004D1C5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D1C58" w:rsidRPr="00D731D0" w:rsidRDefault="004D1C58" w:rsidP="004D1C5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В соответствии со статьей 174</w:t>
      </w:r>
      <w:r w:rsidRPr="00D731D0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Pr="00D731D0">
        <w:rPr>
          <w:rFonts w:ascii="Arial" w:eastAsia="Calibri" w:hAnsi="Arial" w:cs="Arial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22 июня 2019г. №796 «Об общих требованиях к оценке налоговых расходов субъектов Российской Федерации и муниципальных образований», Исполнительный комитет Акбашского сельского поселения Ютазинского муниципального района постановляет:</w:t>
      </w:r>
    </w:p>
    <w:p w:rsidR="004D1C58" w:rsidRPr="00D731D0" w:rsidRDefault="004D1C58" w:rsidP="004D1C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D731D0">
        <w:rPr>
          <w:rFonts w:ascii="Arial" w:hAnsi="Arial" w:cs="Arial"/>
          <w:sz w:val="24"/>
          <w:szCs w:val="24"/>
          <w:lang w:eastAsia="ru-RU"/>
        </w:rPr>
        <w:t>1. Утвердить прилагаемый Порядок формирования перечня налоговых расходов, и порядок проведения оценки налоговых расходов Акбашского сельского поселения Ютазинского муниципального района Республики Татарстан</w:t>
      </w:r>
      <w:r w:rsidRPr="00D731D0">
        <w:rPr>
          <w:rFonts w:ascii="Arial" w:hAnsi="Arial" w:cs="Arial"/>
          <w:i/>
          <w:sz w:val="24"/>
          <w:szCs w:val="24"/>
          <w:lang w:eastAsia="ru-RU"/>
        </w:rPr>
        <w:t>.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2. Предложить Управлению Федеральной налоговой службы по Республике Татарстан до 1 сентября направить в Исполнительный комитет муниципального образования сведения за отчетный год, за год, предшествующий отчетному году: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о количестве плательщиков, воспользовавшихся льготами;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о суммах выпадающих доходов бюджета Акбашского сельского поселения Ютазинского муниципального района Республики Татарстан по каждому налоговому расходу Акбашского сельского поселения Ютазинского муниципального района Республики Татарстан.</w:t>
      </w:r>
    </w:p>
    <w:p w:rsidR="004D1C58" w:rsidRPr="00D731D0" w:rsidRDefault="004D1C58" w:rsidP="004D1C58">
      <w:pPr>
        <w:keepNext/>
        <w:keepLines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D731D0">
        <w:rPr>
          <w:rFonts w:ascii="Arial" w:hAnsi="Arial" w:cs="Arial"/>
          <w:bCs/>
          <w:sz w:val="24"/>
          <w:szCs w:val="24"/>
        </w:rPr>
        <w:t xml:space="preserve">3. </w:t>
      </w:r>
      <w:proofErr w:type="gramStart"/>
      <w:r w:rsidRPr="00D731D0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D731D0">
        <w:rPr>
          <w:rFonts w:ascii="Arial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4D1C58" w:rsidRPr="00D731D0" w:rsidRDefault="004D1C58" w:rsidP="004D1C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D731D0">
        <w:rPr>
          <w:rFonts w:ascii="Arial" w:hAnsi="Arial" w:cs="Arial"/>
          <w:bCs/>
          <w:sz w:val="24"/>
          <w:szCs w:val="24"/>
          <w:lang w:eastAsia="ru-RU"/>
        </w:rPr>
        <w:t xml:space="preserve">4.Настоящее постановление вступает в силу со дня его официального опубликования. </w:t>
      </w:r>
    </w:p>
    <w:p w:rsidR="004D1C58" w:rsidRPr="00D731D0" w:rsidRDefault="004D1C58" w:rsidP="004D1C58">
      <w:pPr>
        <w:widowControl w:val="0"/>
        <w:autoSpaceDE w:val="0"/>
        <w:autoSpaceDN w:val="0"/>
        <w:spacing w:after="0" w:line="240" w:lineRule="auto"/>
        <w:ind w:right="4392"/>
        <w:rPr>
          <w:rFonts w:ascii="Arial" w:hAnsi="Arial" w:cs="Arial"/>
          <w:bCs/>
          <w:sz w:val="24"/>
          <w:szCs w:val="24"/>
          <w:lang w:eastAsia="ru-RU"/>
        </w:rPr>
      </w:pPr>
    </w:p>
    <w:p w:rsidR="004D1C58" w:rsidRPr="00D731D0" w:rsidRDefault="004D1C58" w:rsidP="004D1C58">
      <w:pPr>
        <w:widowControl w:val="0"/>
        <w:autoSpaceDE w:val="0"/>
        <w:autoSpaceDN w:val="0"/>
        <w:spacing w:after="0" w:line="240" w:lineRule="auto"/>
        <w:ind w:right="4392"/>
        <w:rPr>
          <w:rFonts w:ascii="Arial" w:hAnsi="Arial" w:cs="Arial"/>
          <w:bCs/>
          <w:sz w:val="24"/>
          <w:szCs w:val="24"/>
          <w:lang w:eastAsia="ru-RU"/>
        </w:rPr>
      </w:pPr>
      <w:r w:rsidRPr="00D731D0">
        <w:rPr>
          <w:rFonts w:ascii="Arial" w:hAnsi="Arial" w:cs="Arial"/>
          <w:bCs/>
          <w:sz w:val="24"/>
          <w:szCs w:val="24"/>
          <w:lang w:eastAsia="ru-RU"/>
        </w:rPr>
        <w:t>Глава</w:t>
      </w:r>
    </w:p>
    <w:p w:rsidR="004D1C58" w:rsidRPr="00D731D0" w:rsidRDefault="004D1C58" w:rsidP="004D1C58">
      <w:pPr>
        <w:widowControl w:val="0"/>
        <w:autoSpaceDE w:val="0"/>
        <w:autoSpaceDN w:val="0"/>
        <w:spacing w:after="0" w:line="240" w:lineRule="auto"/>
        <w:ind w:right="-1"/>
        <w:rPr>
          <w:rFonts w:ascii="Arial" w:hAnsi="Arial" w:cs="Arial"/>
          <w:bCs/>
          <w:sz w:val="24"/>
          <w:szCs w:val="24"/>
          <w:lang w:eastAsia="ru-RU"/>
        </w:rPr>
      </w:pPr>
      <w:r w:rsidRPr="00D731D0">
        <w:rPr>
          <w:rFonts w:ascii="Arial" w:hAnsi="Arial" w:cs="Arial"/>
          <w:bCs/>
          <w:sz w:val="24"/>
          <w:szCs w:val="24"/>
          <w:lang w:eastAsia="ru-RU"/>
        </w:rPr>
        <w:t>Акбашского сельского поселения                                    Л.Р.Синагатуллина</w:t>
      </w:r>
    </w:p>
    <w:p w:rsidR="004D1C58" w:rsidRPr="00D731D0" w:rsidRDefault="004D1C58" w:rsidP="004D1C58">
      <w:pPr>
        <w:spacing w:after="0" w:line="240" w:lineRule="auto"/>
        <w:ind w:left="7092" w:firstLine="696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4469"/>
      </w:tblGrid>
      <w:tr w:rsidR="004D1C58" w:rsidRPr="00D731D0" w:rsidTr="00E30CD2">
        <w:trPr>
          <w:trHeight w:val="2063"/>
        </w:trPr>
        <w:tc>
          <w:tcPr>
            <w:tcW w:w="5778" w:type="dxa"/>
            <w:shd w:val="clear" w:color="auto" w:fill="auto"/>
          </w:tcPr>
          <w:p w:rsidR="004D1C58" w:rsidRDefault="004D1C58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Pr="00D731D0" w:rsidRDefault="002C0679" w:rsidP="009746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D731D0" w:rsidRDefault="00D731D0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731D0" w:rsidRDefault="00D731D0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731D0" w:rsidRDefault="00D731D0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731D0" w:rsidRDefault="00D731D0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C0679" w:rsidRDefault="002C0679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731D0" w:rsidRDefault="00D731D0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D1C58" w:rsidRPr="00D731D0" w:rsidRDefault="004D1C58" w:rsidP="0097468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eastAsia="Calibri" w:hAnsi="Arial" w:cs="Arial"/>
                <w:sz w:val="24"/>
                <w:szCs w:val="24"/>
              </w:rPr>
              <w:t>УТВЕРЖДЕН</w:t>
            </w:r>
          </w:p>
          <w:p w:rsidR="004D1C58" w:rsidRPr="00D731D0" w:rsidRDefault="004D1C58" w:rsidP="00E30CD2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Постановлением Исполнительного комитета Акбашского сельского поселения Ютазинского муниципального района </w:t>
            </w:r>
            <w:proofErr w:type="gramStart"/>
            <w:r w:rsidRPr="00D731D0">
              <w:rPr>
                <w:rFonts w:ascii="Arial" w:eastAsia="Calibri" w:hAnsi="Arial" w:cs="Arial"/>
                <w:sz w:val="24"/>
                <w:szCs w:val="24"/>
              </w:rPr>
              <w:t>от</w:t>
            </w:r>
            <w:proofErr w:type="gramEnd"/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30CD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D1C58" w:rsidRPr="00D731D0" w:rsidRDefault="004D1C58" w:rsidP="004D1C5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4D1C58" w:rsidRPr="00D731D0" w:rsidRDefault="004D1C58" w:rsidP="004D1C5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731D0">
        <w:rPr>
          <w:rFonts w:ascii="Arial" w:eastAsia="Calibri" w:hAnsi="Arial" w:cs="Arial"/>
          <w:b/>
          <w:sz w:val="24"/>
          <w:szCs w:val="24"/>
        </w:rPr>
        <w:t>Порядок</w:t>
      </w:r>
    </w:p>
    <w:p w:rsidR="004D1C58" w:rsidRPr="00D731D0" w:rsidRDefault="004D1C58" w:rsidP="004D1C5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формирования перечня налоговых расходов и проведения</w:t>
      </w:r>
    </w:p>
    <w:p w:rsidR="004D1C58" w:rsidRPr="00D731D0" w:rsidRDefault="004D1C58" w:rsidP="004D1C5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оценки налоговых расходов Акбашского сельского поселения</w:t>
      </w:r>
    </w:p>
    <w:p w:rsidR="004D1C58" w:rsidRPr="00D731D0" w:rsidRDefault="004D1C58" w:rsidP="004D1C58">
      <w:pPr>
        <w:tabs>
          <w:tab w:val="left" w:pos="4962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Ютазинского муниципального района в 2020 году</w:t>
      </w:r>
    </w:p>
    <w:p w:rsidR="004D1C58" w:rsidRPr="00D731D0" w:rsidRDefault="004D1C58" w:rsidP="004D1C58">
      <w:pPr>
        <w:tabs>
          <w:tab w:val="left" w:pos="4962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D1C58" w:rsidRPr="00D731D0" w:rsidRDefault="004D1C58" w:rsidP="004D1C58">
      <w:pPr>
        <w:tabs>
          <w:tab w:val="left" w:pos="4962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731D0">
        <w:rPr>
          <w:rFonts w:ascii="Arial" w:eastAsia="Calibri" w:hAnsi="Arial" w:cs="Arial"/>
          <w:b/>
          <w:sz w:val="24"/>
          <w:szCs w:val="24"/>
          <w:lang w:val="en-US"/>
        </w:rPr>
        <w:t>I</w:t>
      </w:r>
      <w:r w:rsidRPr="00D731D0">
        <w:rPr>
          <w:rFonts w:ascii="Arial" w:eastAsia="Calibri" w:hAnsi="Arial" w:cs="Arial"/>
          <w:b/>
          <w:sz w:val="24"/>
          <w:szCs w:val="24"/>
        </w:rPr>
        <w:t>. Общие положения</w:t>
      </w:r>
    </w:p>
    <w:p w:rsidR="004D1C58" w:rsidRPr="00D731D0" w:rsidRDefault="004D1C58" w:rsidP="004D1C58">
      <w:pPr>
        <w:spacing w:after="0" w:line="240" w:lineRule="auto"/>
        <w:ind w:left="70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D1C58" w:rsidRPr="00D731D0" w:rsidRDefault="004D1C58" w:rsidP="004D1C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1. Настоящий Порядок определяет правила формирования перечня налоговых расходов Акбашского сельского поселения Ютазинского муниципального района Республики Татарстан и оценки налоговых расходов Акбашского сельского поселения Ютазинского муниципального района Республики Татарстан (далее – Порядок, муниципальное  образование).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2. </w:t>
      </w:r>
      <w:proofErr w:type="gramStart"/>
      <w:r w:rsidRPr="00D731D0">
        <w:rPr>
          <w:rFonts w:ascii="Arial" w:eastAsia="Calibri" w:hAnsi="Arial" w:cs="Arial"/>
          <w:sz w:val="24"/>
          <w:szCs w:val="24"/>
        </w:rPr>
        <w:t>В настоящем Порядке используются термины и понятия, установленные</w:t>
      </w:r>
      <w:r w:rsidRPr="00D731D0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D731D0">
        <w:rPr>
          <w:rFonts w:ascii="Arial" w:eastAsia="Calibri" w:hAnsi="Arial" w:cs="Arial"/>
          <w:sz w:val="24"/>
          <w:szCs w:val="24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2019г. № 796 «Об общих требованиях к оценке налоговых расходов субъектов Российской Федерации и муниципальных образований» (далее - Общие требования).</w:t>
      </w:r>
      <w:proofErr w:type="gramEnd"/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1" w:name="sub_4"/>
      <w:r w:rsidRPr="00D731D0">
        <w:rPr>
          <w:rFonts w:ascii="Arial" w:eastAsia="Calibri" w:hAnsi="Arial" w:cs="Arial"/>
          <w:sz w:val="24"/>
          <w:szCs w:val="24"/>
        </w:rPr>
        <w:t>3.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4. В целях оценки налоговых расходов муниципального образования исполнительный комитет муниципального образования: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формирует перечень налоговых расходов муниципального образования;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осуществляет анализ и обобщение результатов оценки налоговых расходов муниципального образования.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  <w:highlight w:val="lightGray"/>
        </w:rPr>
      </w:pPr>
    </w:p>
    <w:p w:rsidR="004D1C58" w:rsidRPr="00D731D0" w:rsidRDefault="004D1C58" w:rsidP="004D1C58">
      <w:pPr>
        <w:spacing w:after="0" w:line="240" w:lineRule="auto"/>
        <w:ind w:firstLine="708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D731D0">
        <w:rPr>
          <w:rFonts w:ascii="Arial" w:eastAsia="Calibri" w:hAnsi="Arial" w:cs="Arial"/>
          <w:b/>
          <w:sz w:val="24"/>
          <w:szCs w:val="24"/>
          <w:lang w:val="en-US"/>
        </w:rPr>
        <w:t>II</w:t>
      </w:r>
      <w:r w:rsidRPr="00D731D0">
        <w:rPr>
          <w:rFonts w:ascii="Arial" w:eastAsia="Calibri" w:hAnsi="Arial" w:cs="Arial"/>
          <w:b/>
          <w:sz w:val="24"/>
          <w:szCs w:val="24"/>
        </w:rPr>
        <w:t>. Формирование перечня налоговых расходов муниципального образования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года.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6. Утвержденный Перечень налоговых расходов муниципального образования  размещается на официальном сайте муниципального образования не позднее  1 июля текущего года.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</w:t>
      </w:r>
      <w:proofErr w:type="gramStart"/>
      <w:r w:rsidRPr="00D731D0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Pr="00D731D0">
        <w:rPr>
          <w:rFonts w:ascii="Arial" w:eastAsia="Calibri" w:hAnsi="Arial" w:cs="Arial"/>
          <w:sz w:val="24"/>
          <w:szCs w:val="24"/>
        </w:rPr>
        <w:t>.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lastRenderedPageBreak/>
        <w:t xml:space="preserve">8. В целях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D731D0">
        <w:rPr>
          <w:rFonts w:ascii="Arial" w:eastAsia="Calibri" w:hAnsi="Arial" w:cs="Arial"/>
          <w:sz w:val="24"/>
          <w:szCs w:val="24"/>
        </w:rPr>
        <w:t>плательщиков</w:t>
      </w:r>
      <w:proofErr w:type="gramEnd"/>
      <w:r w:rsidRPr="00D731D0">
        <w:rPr>
          <w:rFonts w:ascii="Arial" w:eastAsia="Calibri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D731D0">
          <w:rPr>
            <w:rFonts w:ascii="Arial" w:eastAsia="Calibri" w:hAnsi="Arial" w:cs="Arial"/>
            <w:sz w:val="24"/>
            <w:szCs w:val="24"/>
          </w:rPr>
          <w:t>приложением</w:t>
        </w:r>
      </w:hyperlink>
      <w:r w:rsidRPr="00D731D0">
        <w:rPr>
          <w:rFonts w:ascii="Arial" w:eastAsia="Calibri" w:hAnsi="Arial" w:cs="Arial"/>
          <w:sz w:val="24"/>
          <w:szCs w:val="24"/>
        </w:rPr>
        <w:t xml:space="preserve"> к настоящему Порядку.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 xml:space="preserve">9.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исполнительный комитет муниципального образования в течение 10 рабочих дней </w:t>
      </w:r>
      <w:proofErr w:type="gramStart"/>
      <w:r w:rsidRPr="00D731D0">
        <w:rPr>
          <w:rFonts w:ascii="Arial" w:eastAsia="Calibri" w:hAnsi="Arial" w:cs="Arial"/>
          <w:sz w:val="24"/>
          <w:szCs w:val="24"/>
        </w:rPr>
        <w:t>с даты вступления</w:t>
      </w:r>
      <w:proofErr w:type="gramEnd"/>
      <w:r w:rsidRPr="00D731D0">
        <w:rPr>
          <w:rFonts w:ascii="Arial" w:eastAsia="Calibri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 муниципального образования.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bookmarkStart w:id="2" w:name="P53"/>
      <w:bookmarkStart w:id="3" w:name="P55"/>
      <w:bookmarkEnd w:id="2"/>
      <w:bookmarkEnd w:id="3"/>
      <w:r w:rsidRPr="00D731D0">
        <w:rPr>
          <w:rFonts w:ascii="Arial" w:eastAsia="Calibri" w:hAnsi="Arial" w:cs="Arial"/>
          <w:b/>
          <w:sz w:val="24"/>
          <w:szCs w:val="24"/>
          <w:lang w:val="en-US"/>
        </w:rPr>
        <w:t>III</w:t>
      </w:r>
      <w:r w:rsidRPr="00D731D0">
        <w:rPr>
          <w:rFonts w:ascii="Arial" w:eastAsia="Calibri" w:hAnsi="Arial" w:cs="Arial"/>
          <w:b/>
          <w:sz w:val="24"/>
          <w:szCs w:val="24"/>
        </w:rPr>
        <w:t>. Порядок оценки налоговых расходов муниципального образования.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10. Оценка налоговых расходов осуществляется исполнительным комитетом муниципального образования и включает: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-оценку объемов налоговых расходов муниципального образования;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-оценку эффективности налоговых расходов муниципального образования.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11. Оценка эффективности налоговых расходов муниципального образования включает: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- оценку целесообразности налоговых расходов муниципального образования;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- оценку результативности налоговых расходов муниципального образования.</w:t>
      </w:r>
    </w:p>
    <w:p w:rsidR="004D1C58" w:rsidRPr="00D731D0" w:rsidRDefault="004D1C58" w:rsidP="004D1C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12. Критериями целесообразности налоговых расходов муниципального образования являются:</w:t>
      </w:r>
    </w:p>
    <w:p w:rsidR="004D1C58" w:rsidRPr="00D731D0" w:rsidRDefault="004D1C58" w:rsidP="004D1C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программ,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4D1C58" w:rsidRPr="00D731D0" w:rsidRDefault="004D1C58" w:rsidP="004D1C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период.</w:t>
      </w:r>
    </w:p>
    <w:p w:rsidR="004D1C58" w:rsidRPr="00D731D0" w:rsidRDefault="004D1C58" w:rsidP="004D1C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В случае несоответствия налоговых расходов муниципального образования хотя бы одному из критериев, указанных в настоящем пункте, исполнительному комитету муниципального образования надлежит представить предложения о сохранении (уточнении, отмене)  льгот для плательщиков.</w:t>
      </w:r>
    </w:p>
    <w:p w:rsidR="004D1C58" w:rsidRPr="00D731D0" w:rsidRDefault="004D1C58" w:rsidP="004D1C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D731D0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Pr="00D731D0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</w:t>
      </w:r>
      <w:r w:rsidRPr="00D731D0">
        <w:rPr>
          <w:rFonts w:ascii="Arial" w:eastAsia="Calibri" w:hAnsi="Arial" w:cs="Arial"/>
          <w:sz w:val="24"/>
          <w:szCs w:val="24"/>
        </w:rPr>
        <w:lastRenderedPageBreak/>
        <w:t>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 xml:space="preserve">15. В целях </w:t>
      </w:r>
      <w:proofErr w:type="gramStart"/>
      <w:r w:rsidRPr="00D731D0">
        <w:rPr>
          <w:rFonts w:ascii="Arial" w:eastAsia="Calibri" w:hAnsi="Arial" w:cs="Arial"/>
          <w:sz w:val="24"/>
          <w:szCs w:val="24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D731D0">
        <w:rPr>
          <w:rFonts w:ascii="Arial" w:eastAsia="Calibri" w:hAnsi="Arial" w:cs="Arial"/>
          <w:sz w:val="24"/>
          <w:szCs w:val="24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16. </w:t>
      </w:r>
      <w:proofErr w:type="gramStart"/>
      <w:r w:rsidRPr="00D731D0">
        <w:rPr>
          <w:rFonts w:ascii="Arial" w:eastAsia="Calibri" w:hAnsi="Arial" w:cs="Arial"/>
          <w:sz w:val="24"/>
          <w:szCs w:val="24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D731D0">
        <w:rPr>
          <w:rFonts w:ascii="Arial" w:eastAsia="Calibri" w:hAnsi="Arial" w:cs="Arial"/>
          <w:sz w:val="24"/>
          <w:szCs w:val="24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D731D0">
        <w:rPr>
          <w:rFonts w:ascii="Arial" w:eastAsia="Calibri" w:hAnsi="Arial" w:cs="Arial"/>
          <w:sz w:val="24"/>
          <w:szCs w:val="24"/>
        </w:rPr>
        <w:t>механизмов достижения целей муниципальной программы муниципального образования</w:t>
      </w:r>
      <w:proofErr w:type="gramEnd"/>
      <w:r w:rsidRPr="00D731D0">
        <w:rPr>
          <w:rFonts w:ascii="Arial" w:eastAsia="Calibri" w:hAnsi="Arial" w:cs="Arial"/>
          <w:sz w:val="24"/>
          <w:szCs w:val="24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б) предоставление муниципальных гарантий по обязательствам плательщиков, имеющих право на льготы;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17. Оценка налоговых расходов муниципального образования осуществляется до 1 октября и содержит: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- информацию по Перечню показателей для проведения оценки налоговых расходов;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 xml:space="preserve"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 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- предложения о наличии (отсутствии) более результативных альтернативных механизмов их достижения;</w:t>
      </w:r>
    </w:p>
    <w:p w:rsidR="004D1C58" w:rsidRPr="00D731D0" w:rsidRDefault="004D1C58" w:rsidP="004D1C58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4D1C58" w:rsidRPr="00D731D0" w:rsidRDefault="004D1C58" w:rsidP="00D731D0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731D0">
        <w:rPr>
          <w:rFonts w:ascii="Arial" w:eastAsia="Calibri" w:hAnsi="Arial" w:cs="Arial"/>
          <w:sz w:val="24"/>
          <w:szCs w:val="24"/>
        </w:rPr>
        <w:t>18.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</w:t>
      </w:r>
      <w:r w:rsidR="00D731D0">
        <w:rPr>
          <w:rFonts w:ascii="Arial" w:eastAsia="Calibri" w:hAnsi="Arial" w:cs="Arial"/>
          <w:sz w:val="24"/>
          <w:szCs w:val="24"/>
        </w:rPr>
        <w:t>лизации муниципальных программ.</w:t>
      </w:r>
    </w:p>
    <w:p w:rsidR="004D1C58" w:rsidRPr="00D731D0" w:rsidRDefault="004D1C58" w:rsidP="00EB6B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EB6B7A" w:rsidRPr="00D731D0" w:rsidRDefault="00EB6B7A" w:rsidP="00EB6B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60"/>
      </w:tblGrid>
      <w:tr w:rsidR="004D1C58" w:rsidRPr="00D731D0" w:rsidTr="00974680">
        <w:trPr>
          <w:trHeight w:val="1133"/>
        </w:trPr>
        <w:tc>
          <w:tcPr>
            <w:tcW w:w="4536" w:type="dxa"/>
            <w:shd w:val="clear" w:color="auto" w:fill="auto"/>
          </w:tcPr>
          <w:p w:rsidR="004D1C58" w:rsidRPr="00D731D0" w:rsidRDefault="004D1C58" w:rsidP="0097468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eastAsia="Calibri" w:hAnsi="Arial" w:cs="Arial"/>
                <w:sz w:val="24"/>
                <w:szCs w:val="24"/>
              </w:rPr>
              <w:t>Приложение к Порядку формирования перечня налоговых расходов Акбашского сельского поселения Ютазинского муниципального района</w:t>
            </w:r>
          </w:p>
        </w:tc>
      </w:tr>
    </w:tbl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  <w:r w:rsidRPr="00D731D0">
        <w:rPr>
          <w:rFonts w:ascii="Arial" w:hAnsi="Arial" w:cs="Arial"/>
          <w:spacing w:val="-4"/>
          <w:sz w:val="24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  <w:r w:rsidRPr="00D731D0">
        <w:rPr>
          <w:rFonts w:ascii="Arial" w:hAnsi="Arial" w:cs="Arial"/>
          <w:spacing w:val="-4"/>
          <w:sz w:val="24"/>
          <w:szCs w:val="24"/>
          <w:lang w:eastAsia="ru-RU"/>
        </w:rPr>
        <w:t>Акбашского сельского поселения Ютазинского муниципального района</w:t>
      </w: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4D1C58" w:rsidRPr="00D731D0" w:rsidTr="00974680">
        <w:tc>
          <w:tcPr>
            <w:tcW w:w="6805" w:type="dxa"/>
            <w:gridSpan w:val="2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4D1C58" w:rsidRPr="00D731D0" w:rsidTr="00974680">
        <w:tc>
          <w:tcPr>
            <w:tcW w:w="10065" w:type="dxa"/>
            <w:gridSpan w:val="3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.Нормативные и целевые характеристики налогового расхода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Нормативный правовой акт муниципального образования, устанавливающий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>налоговые льготы, освобождения и иные преференции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Условия предоставления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налоговых льгот, освобождений и иных преференций, установленных 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>налоговые льготы, освобождения и иные преференции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>налоговые льготы, освобождения и иные преференции по налогам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>налоговых льгот, освобождений и иных преференций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>налоговых льгот, освобождений и иных преференций по налогам, установленная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>налоговых льгот, освобождений и иных преференций по налогам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rPr>
          <w:trHeight w:val="330"/>
        </w:trPr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Целевая категория налогового расхода (социальная 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поддержка, стимулирующая или техническая льгота)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Исполнительный комитет 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налоговых льгот, освобождений и иных преференций для плательщиков налогов, установленных 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налоговые льготы, освобождения и иные преференции, установленные  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Вид 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>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rPr>
          <w:trHeight w:val="957"/>
        </w:trPr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rPr>
          <w:trHeight w:val="292"/>
        </w:trPr>
        <w:tc>
          <w:tcPr>
            <w:tcW w:w="10065" w:type="dxa"/>
            <w:gridSpan w:val="3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val="en-US" w:eastAsia="ru-RU"/>
              </w:rPr>
              <w:t>II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. Фискальные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</w:t>
            </w:r>
            <w:r w:rsidRPr="00D731D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eastAsia="Calibri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37" w:type="dxa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eastAsia="Calibri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4D1C58" w:rsidRPr="00D731D0" w:rsidTr="00974680">
        <w:tc>
          <w:tcPr>
            <w:tcW w:w="568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7" w:type="dxa"/>
            <w:vAlign w:val="center"/>
          </w:tcPr>
          <w:p w:rsidR="004D1C58" w:rsidRPr="00D731D0" w:rsidRDefault="004D1C58" w:rsidP="0097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  <w:r w:rsidRPr="00D731D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4D1C58" w:rsidRPr="00D731D0" w:rsidRDefault="004D1C58" w:rsidP="0097468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муниципального </w:t>
            </w:r>
            <w:r w:rsidRPr="00D731D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</w:tbl>
    <w:p w:rsidR="004D1C58" w:rsidRPr="00D731D0" w:rsidRDefault="004D1C58" w:rsidP="004D1C5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D1C58" w:rsidRPr="00D731D0" w:rsidRDefault="004D1C58" w:rsidP="004D1C58">
      <w:pPr>
        <w:autoSpaceDE w:val="0"/>
        <w:autoSpaceDN w:val="0"/>
        <w:adjustRightInd w:val="0"/>
        <w:spacing w:after="0" w:line="240" w:lineRule="auto"/>
        <w:ind w:right="4962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24500" w:rsidRPr="00D731D0" w:rsidRDefault="00A24500" w:rsidP="004D1C58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sectPr w:rsidR="00A24500" w:rsidRPr="00D731D0" w:rsidSect="00EB6B7A">
      <w:headerReference w:type="default" r:id="rId10"/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D1" w:rsidRDefault="008915D1" w:rsidP="004D1C58">
      <w:pPr>
        <w:spacing w:after="0" w:line="240" w:lineRule="auto"/>
      </w:pPr>
      <w:r>
        <w:separator/>
      </w:r>
    </w:p>
  </w:endnote>
  <w:endnote w:type="continuationSeparator" w:id="0">
    <w:p w:rsidR="008915D1" w:rsidRDefault="008915D1" w:rsidP="004D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D1" w:rsidRDefault="008915D1" w:rsidP="004D1C58">
      <w:pPr>
        <w:spacing w:after="0" w:line="240" w:lineRule="auto"/>
      </w:pPr>
      <w:r>
        <w:separator/>
      </w:r>
    </w:p>
  </w:footnote>
  <w:footnote w:type="continuationSeparator" w:id="0">
    <w:p w:rsidR="008915D1" w:rsidRDefault="008915D1" w:rsidP="004D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D2" w:rsidRDefault="00E30CD2">
    <w:pPr>
      <w:pStyle w:val="a8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A2A"/>
    <w:multiLevelType w:val="hybridMultilevel"/>
    <w:tmpl w:val="ED6E4BF8"/>
    <w:lvl w:ilvl="0" w:tplc="9830D856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930EC"/>
    <w:multiLevelType w:val="hybridMultilevel"/>
    <w:tmpl w:val="114C15FC"/>
    <w:lvl w:ilvl="0" w:tplc="122A323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4">
    <w:nsid w:val="7C6914FD"/>
    <w:multiLevelType w:val="hybridMultilevel"/>
    <w:tmpl w:val="ABC2E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B0"/>
    <w:rsid w:val="00027CE0"/>
    <w:rsid w:val="000315E6"/>
    <w:rsid w:val="000641BC"/>
    <w:rsid w:val="0007445B"/>
    <w:rsid w:val="000A4DBC"/>
    <w:rsid w:val="000B58F3"/>
    <w:rsid w:val="001045E5"/>
    <w:rsid w:val="00175063"/>
    <w:rsid w:val="00176271"/>
    <w:rsid w:val="00182B61"/>
    <w:rsid w:val="00182D3A"/>
    <w:rsid w:val="00224658"/>
    <w:rsid w:val="002818AC"/>
    <w:rsid w:val="002A6559"/>
    <w:rsid w:val="002B7B19"/>
    <w:rsid w:val="002C0679"/>
    <w:rsid w:val="002D01E2"/>
    <w:rsid w:val="002D1EB3"/>
    <w:rsid w:val="0035600A"/>
    <w:rsid w:val="003A417F"/>
    <w:rsid w:val="003F5A2F"/>
    <w:rsid w:val="004D1C58"/>
    <w:rsid w:val="004D7F24"/>
    <w:rsid w:val="0050312B"/>
    <w:rsid w:val="005212E5"/>
    <w:rsid w:val="005540F4"/>
    <w:rsid w:val="00557ED8"/>
    <w:rsid w:val="00603F2B"/>
    <w:rsid w:val="00634929"/>
    <w:rsid w:val="006613AB"/>
    <w:rsid w:val="006B2E3B"/>
    <w:rsid w:val="006D545B"/>
    <w:rsid w:val="007023F4"/>
    <w:rsid w:val="007206D3"/>
    <w:rsid w:val="00760CCF"/>
    <w:rsid w:val="007711F7"/>
    <w:rsid w:val="007C2FE7"/>
    <w:rsid w:val="007C3D65"/>
    <w:rsid w:val="008845B0"/>
    <w:rsid w:val="0089019A"/>
    <w:rsid w:val="008915D1"/>
    <w:rsid w:val="008C7757"/>
    <w:rsid w:val="00951BB9"/>
    <w:rsid w:val="00974680"/>
    <w:rsid w:val="009A4990"/>
    <w:rsid w:val="009C72D2"/>
    <w:rsid w:val="009E6834"/>
    <w:rsid w:val="00A01AFE"/>
    <w:rsid w:val="00A020BB"/>
    <w:rsid w:val="00A24500"/>
    <w:rsid w:val="00A5472C"/>
    <w:rsid w:val="00B440B5"/>
    <w:rsid w:val="00B61678"/>
    <w:rsid w:val="00B93037"/>
    <w:rsid w:val="00BB71EB"/>
    <w:rsid w:val="00BC638E"/>
    <w:rsid w:val="00BD12EF"/>
    <w:rsid w:val="00C12914"/>
    <w:rsid w:val="00C3554A"/>
    <w:rsid w:val="00C52959"/>
    <w:rsid w:val="00C5598A"/>
    <w:rsid w:val="00C71B6C"/>
    <w:rsid w:val="00C77E05"/>
    <w:rsid w:val="00CB18FC"/>
    <w:rsid w:val="00CE2078"/>
    <w:rsid w:val="00CE25B8"/>
    <w:rsid w:val="00D731D0"/>
    <w:rsid w:val="00D814D8"/>
    <w:rsid w:val="00D82B8C"/>
    <w:rsid w:val="00DD07A0"/>
    <w:rsid w:val="00E30CD2"/>
    <w:rsid w:val="00EB6B7A"/>
    <w:rsid w:val="00ED2E19"/>
    <w:rsid w:val="00F2127B"/>
    <w:rsid w:val="00F50C15"/>
    <w:rsid w:val="00F93B57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link w:val="3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1EB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D1EB3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CB18FC"/>
    <w:pPr>
      <w:ind w:left="708"/>
    </w:pPr>
  </w:style>
  <w:style w:type="table" w:customStyle="1" w:styleId="21">
    <w:name w:val="Сетка таблицы2"/>
    <w:basedOn w:val="a1"/>
    <w:next w:val="a3"/>
    <w:uiPriority w:val="59"/>
    <w:rsid w:val="004D1C5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D1C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D1C5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D1C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D1C5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link w:val="3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1EB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D1EB3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CB18FC"/>
    <w:pPr>
      <w:ind w:left="708"/>
    </w:pPr>
  </w:style>
  <w:style w:type="table" w:customStyle="1" w:styleId="21">
    <w:name w:val="Сетка таблицы2"/>
    <w:basedOn w:val="a1"/>
    <w:next w:val="a3"/>
    <w:uiPriority w:val="59"/>
    <w:rsid w:val="004D1C5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D1C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D1C5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D1C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D1C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8EF6-19DE-44B8-9559-299360C6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15190</CharactersWithSpaces>
  <SharedDoc>false</SharedDoc>
  <HLinks>
    <vt:vector size="6" baseType="variant"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consultantplus://offline/ref=CC5AC064E0D8DD765A7C2583F37C2AC53F3322099DAF8AB410A7B40A97C92F6516E2E76C209411772CD4D6B7542C5AE02EE637C6675A7BB02E9DD669f1I1H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ПК</cp:lastModifiedBy>
  <cp:revision>2</cp:revision>
  <cp:lastPrinted>2020-04-02T04:58:00Z</cp:lastPrinted>
  <dcterms:created xsi:type="dcterms:W3CDTF">2020-05-20T07:02:00Z</dcterms:created>
  <dcterms:modified xsi:type="dcterms:W3CDTF">2020-05-20T07:02:00Z</dcterms:modified>
</cp:coreProperties>
</file>