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15" w:rsidRDefault="00997515" w:rsidP="00997515">
      <w:pPr>
        <w:jc w:val="right"/>
      </w:pPr>
      <w:r>
        <w:t>ПРОЕКТ</w:t>
      </w:r>
      <w:bookmarkStart w:id="0" w:name="_GoBack"/>
      <w:bookmarkEnd w:id="0"/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56C79" w:rsidTr="00725E29">
        <w:tc>
          <w:tcPr>
            <w:tcW w:w="6345" w:type="dxa"/>
          </w:tcPr>
          <w:p w:rsidR="00356C79" w:rsidRPr="00A67D8D" w:rsidRDefault="00356C79" w:rsidP="00725E29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</w:t>
            </w:r>
            <w:r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  <w:r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56C79" w:rsidRDefault="00356C79" w:rsidP="00725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C79" w:rsidRDefault="00356C79" w:rsidP="00356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31.07.2020 </w:t>
      </w:r>
      <w:r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>
        <w:rPr>
          <w:rFonts w:ascii="Times New Roman" w:eastAsia="Calibri" w:hAnsi="Times New Roman" w:cs="Times New Roman"/>
          <w:sz w:val="28"/>
          <w:szCs w:val="28"/>
        </w:rPr>
        <w:t>кой Федерации от 25.06.2021</w:t>
      </w:r>
      <w:r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>
        <w:rPr>
          <w:rFonts w:ascii="Times New Roman" w:eastAsia="Calibri" w:hAnsi="Times New Roman" w:cs="Times New Roman"/>
          <w:sz w:val="28"/>
          <w:szCs w:val="28"/>
        </w:rPr>
        <w:t>Уставом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утвержденного решением Совета Старокаразерикского сельского поселения Ютазинского муниципального района Республики Татарстан от 29.03.2019 № 5,</w:t>
      </w:r>
      <w:r w:rsidRPr="00AA4F5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25.11.2021</w:t>
      </w:r>
      <w:r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11, 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Старокаразерикского сельского поселения</w:t>
      </w:r>
    </w:p>
    <w:p w:rsidR="00356C79" w:rsidRDefault="00356C79" w:rsidP="0035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56C79" w:rsidRDefault="00356C79" w:rsidP="00356C7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6C79" w:rsidRPr="00DE3152" w:rsidRDefault="00356C79" w:rsidP="00356C7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E315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56C79" w:rsidRPr="001B10EA" w:rsidRDefault="00356C79" w:rsidP="00356C7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56C79" w:rsidRDefault="00356C79" w:rsidP="00356C7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A0668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И.о. Главы Старокаразерикского</w:t>
      </w: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                  Э.М.Минниярова</w:t>
      </w:r>
    </w:p>
    <w:p w:rsidR="00356C79" w:rsidRDefault="00356C79" w:rsidP="00356C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56C79" w:rsidRDefault="00356C79" w:rsidP="00356C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C79" w:rsidRDefault="00356C79" w:rsidP="00356C7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630CFD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постановлению</w:t>
      </w:r>
    </w:p>
    <w:p w:rsidR="00356C79" w:rsidRDefault="00356C79" w:rsidP="00356C79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356C79" w:rsidRDefault="00356C79" w:rsidP="00356C79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Старокаразерикского сельского поселения</w:t>
      </w:r>
      <w:r w:rsidRPr="007722EB">
        <w:rPr>
          <w:sz w:val="28"/>
          <w:szCs w:val="28"/>
        </w:rPr>
        <w:t xml:space="preserve"> </w:t>
      </w:r>
      <w:r w:rsidRPr="00630CF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 20___</w:t>
      </w:r>
      <w:r w:rsidRPr="00630CFD">
        <w:rPr>
          <w:sz w:val="28"/>
          <w:szCs w:val="28"/>
        </w:rPr>
        <w:t xml:space="preserve"> г. № ______</w:t>
      </w:r>
    </w:p>
    <w:p w:rsidR="00356C79" w:rsidRDefault="00356C79" w:rsidP="00356C79">
      <w:pPr>
        <w:spacing w:after="0" w:line="240" w:lineRule="auto"/>
        <w:jc w:val="both"/>
        <w:rPr>
          <w:sz w:val="28"/>
          <w:szCs w:val="28"/>
        </w:rPr>
      </w:pPr>
    </w:p>
    <w:p w:rsidR="00356C79" w:rsidRPr="00630CFD" w:rsidRDefault="00356C79" w:rsidP="00356C79">
      <w:pPr>
        <w:spacing w:after="0" w:line="240" w:lineRule="auto"/>
        <w:jc w:val="both"/>
        <w:rPr>
          <w:sz w:val="28"/>
          <w:szCs w:val="28"/>
        </w:rPr>
      </w:pP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313A28">
        <w:rPr>
          <w:rFonts w:ascii="Times New Roman" w:eastAsia="Calibri" w:hAnsi="Times New Roman" w:cs="Times New Roman"/>
          <w:sz w:val="28"/>
          <w:szCs w:val="28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Старокаразерикское сельское поселение</w:t>
      </w:r>
      <w:r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56C79" w:rsidRPr="005438DB" w:rsidRDefault="00356C79" w:rsidP="00356C7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рофилактики риска </w:t>
      </w:r>
      <w:r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Старокаразерикское сельское поселение</w:t>
      </w:r>
      <w:r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Ютазинского муниципального района Республики Татарстан на 2024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56C79" w:rsidRPr="005438DB" w:rsidRDefault="00356C79" w:rsidP="00356C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комитетом Старокаразерикского сельского поселения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C79" w:rsidRPr="005438DB" w:rsidRDefault="00356C79" w:rsidP="00356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C79" w:rsidRPr="005438DB" w:rsidRDefault="00356C79" w:rsidP="0035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56C79" w:rsidRPr="005438DB" w:rsidRDefault="00356C79" w:rsidP="00356C7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онтроля: 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C79" w:rsidRPr="00E6110A" w:rsidRDefault="00356C79" w:rsidP="00356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Старокаразерикского сельского поселения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Татарстан, утвержденных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Старокаразерикского сельского поселения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 от 29.03.2019 № 5</w:t>
      </w:r>
      <w:r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C79" w:rsidRPr="005438DB" w:rsidRDefault="00356C79" w:rsidP="00356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56C79" w:rsidRPr="001F0BB6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56C79" w:rsidRPr="005438DB" w:rsidRDefault="00356C79" w:rsidP="0035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56C79" w:rsidRPr="005438DB" w:rsidRDefault="00356C79" w:rsidP="00356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</w:t>
      </w:r>
      <w:r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56C79" w:rsidRDefault="00356C79" w:rsidP="00356C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356C79" w:rsidRPr="005438DB" w:rsidTr="00725E29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356C79" w:rsidRPr="005438DB" w:rsidTr="00725E29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356C79" w:rsidRPr="005438DB" w:rsidTr="00725E29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356C79" w:rsidRPr="005438DB" w:rsidTr="00725E29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6C79" w:rsidRPr="005438DB" w:rsidRDefault="00356C79" w:rsidP="00725E29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интересам</w:t>
            </w: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356C79" w:rsidRPr="005438DB" w:rsidRDefault="00356C79" w:rsidP="00725E29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6C79" w:rsidRPr="005438DB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C79" w:rsidRPr="005438DB" w:rsidTr="00725E29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356C79" w:rsidRPr="005438DB" w:rsidTr="00725E29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6C79" w:rsidRPr="005438DB" w:rsidRDefault="00356C79" w:rsidP="00725E2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356C79" w:rsidRPr="005438DB" w:rsidRDefault="00356C79" w:rsidP="00725E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C79" w:rsidRPr="005438DB" w:rsidRDefault="00356C79" w:rsidP="00725E29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356C79" w:rsidRPr="005438DB" w:rsidTr="00725E2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356C79" w:rsidRPr="005438DB" w:rsidTr="00725E29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56C79" w:rsidRPr="005438DB" w:rsidTr="00725E29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56C79" w:rsidRPr="005438DB" w:rsidRDefault="00356C79" w:rsidP="00725E2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356C79" w:rsidRPr="005438DB" w:rsidTr="00725E29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356C79" w:rsidRPr="005438DB" w:rsidTr="00725E29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356C79" w:rsidRPr="005438DB" w:rsidRDefault="00356C79" w:rsidP="00725E29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79" w:rsidRPr="005438DB" w:rsidRDefault="00356C79" w:rsidP="00725E29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C79" w:rsidRPr="005438DB" w:rsidRDefault="00356C79" w:rsidP="00356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56C79" w:rsidRDefault="00356C79" w:rsidP="00356C79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p w:rsidR="00BA2AC4" w:rsidRDefault="00BA2AC4"/>
    <w:sectPr w:rsidR="00BA2AC4" w:rsidSect="00CC4E1C">
      <w:headerReference w:type="default" r:id="rId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DB" w:rsidRDefault="004770DB">
      <w:pPr>
        <w:spacing w:after="0" w:line="240" w:lineRule="auto"/>
      </w:pPr>
      <w:r>
        <w:separator/>
      </w:r>
    </w:p>
  </w:endnote>
  <w:endnote w:type="continuationSeparator" w:id="0">
    <w:p w:rsidR="004770DB" w:rsidRDefault="0047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DB" w:rsidRDefault="004770DB">
      <w:pPr>
        <w:spacing w:after="0" w:line="240" w:lineRule="auto"/>
      </w:pPr>
      <w:r>
        <w:separator/>
      </w:r>
    </w:p>
  </w:footnote>
  <w:footnote w:type="continuationSeparator" w:id="0">
    <w:p w:rsidR="004770DB" w:rsidRDefault="0047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4770DB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A1"/>
    <w:rsid w:val="00356C79"/>
    <w:rsid w:val="004770DB"/>
    <w:rsid w:val="006638A1"/>
    <w:rsid w:val="00997515"/>
    <w:rsid w:val="00BA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744"/>
  <w15:docId w15:val="{76AE086C-2462-40CB-A406-164C2416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356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56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dcterms:created xsi:type="dcterms:W3CDTF">2023-09-15T10:50:00Z</dcterms:created>
  <dcterms:modified xsi:type="dcterms:W3CDTF">2023-09-15T10:50:00Z</dcterms:modified>
</cp:coreProperties>
</file>