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B0" w:rsidRDefault="001E63E5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1C12FC" w:rsidRDefault="001C12FC">
      <w:pPr>
        <w:spacing w:after="0"/>
        <w:jc w:val="right"/>
        <w:rPr>
          <w:b/>
          <w:sz w:val="24"/>
          <w:szCs w:val="24"/>
        </w:rPr>
      </w:pPr>
    </w:p>
    <w:p w:rsidR="001C12FC" w:rsidRPr="001C12FC" w:rsidRDefault="001C12FC" w:rsidP="001C12FC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1C12FC" w:rsidRPr="001C12FC" w:rsidTr="00943DDC">
        <w:trPr>
          <w:trHeight w:val="1232"/>
        </w:trPr>
        <w:tc>
          <w:tcPr>
            <w:tcW w:w="4324" w:type="dxa"/>
            <w:shd w:val="clear" w:color="auto" w:fill="auto"/>
          </w:tcPr>
          <w:p w:rsidR="001C12FC" w:rsidRPr="001C12FC" w:rsidRDefault="001C12FC" w:rsidP="001C12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1C1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ИСПОЛНИТЕЛЬНый КОМИТЕТ   АКБАШСКОГО СЕЛЬСКОГО ПОСЕЛЕНИЯ ЮТАЗИНСКОГО МУНИЦИПАЛЬНОГО РАЙОНА РЕспублики Татарстан</w:t>
            </w:r>
          </w:p>
          <w:p w:rsidR="001C12FC" w:rsidRPr="001C12FC" w:rsidRDefault="001C12FC" w:rsidP="001C12FC">
            <w:pPr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ул.Школьная, д.17, с.Акбаш, 423958</w:t>
            </w:r>
          </w:p>
        </w:tc>
        <w:tc>
          <w:tcPr>
            <w:tcW w:w="1148" w:type="dxa"/>
            <w:shd w:val="clear" w:color="auto" w:fill="auto"/>
          </w:tcPr>
          <w:p w:rsidR="001C12FC" w:rsidRPr="001C12FC" w:rsidRDefault="001C12FC" w:rsidP="001C12FC">
            <w:pPr>
              <w:suppressAutoHyphens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C12FC" w:rsidRPr="001C12FC" w:rsidRDefault="001C12FC" w:rsidP="001C12FC">
            <w:pPr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1C1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татарстан республикасы ЮТАЗЫ </w:t>
            </w:r>
          </w:p>
          <w:p w:rsidR="001C12FC" w:rsidRPr="001C12FC" w:rsidRDefault="001C12FC" w:rsidP="001C12FC">
            <w:pPr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1C1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МУНИЦИПАЛЬ РАЙОНЫ АКБАШ АВЫЛ ҖИРЛЕГЕ</w:t>
            </w:r>
          </w:p>
          <w:p w:rsidR="001C12FC" w:rsidRPr="001C12FC" w:rsidRDefault="001C12FC" w:rsidP="001C12FC">
            <w:pPr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1C12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БАШКАРМА  КОМИТЕТЫ  </w:t>
            </w:r>
          </w:p>
          <w:p w:rsidR="001C12FC" w:rsidRPr="001C12FC" w:rsidRDefault="001C12FC" w:rsidP="001C12F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Мәктәп урамы, 17 йорт, Акбаш авылы, 423958</w:t>
            </w:r>
          </w:p>
        </w:tc>
      </w:tr>
      <w:tr w:rsidR="001C12FC" w:rsidRPr="001C12FC" w:rsidTr="00943DDC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1C12FC" w:rsidRPr="001C12FC" w:rsidRDefault="001C12FC" w:rsidP="001C12F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  <w:p w:rsidR="001C12FC" w:rsidRPr="001C12FC" w:rsidRDefault="001C12FC" w:rsidP="001C12F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</w:t>
            </w: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</w:rPr>
              <w:t>ел./факс: (85593) 4-14-34</w:t>
            </w: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e-mail:</w:t>
            </w:r>
            <w:r w:rsidRPr="001C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Akbash.Utz@tatar.ru</w:t>
            </w:r>
          </w:p>
        </w:tc>
      </w:tr>
    </w:tbl>
    <w:p w:rsidR="001C12FC" w:rsidRPr="001C12FC" w:rsidRDefault="001C12FC" w:rsidP="001C12FC">
      <w:pPr>
        <w:suppressAutoHyphens w:val="0"/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12FC" w:rsidRPr="001C12FC" w:rsidRDefault="001C12FC" w:rsidP="001C1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1C12FC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ru-RU"/>
        </w:rPr>
        <w:t>ПОСТАНОВЛЕНИЕ                                                                                                КАРАР</w:t>
      </w:r>
    </w:p>
    <w:p w:rsidR="001C12FC" w:rsidRPr="001C12FC" w:rsidRDefault="001C12FC" w:rsidP="001C1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</w:p>
    <w:p w:rsidR="001C12FC" w:rsidRPr="001C12FC" w:rsidRDefault="001C12FC" w:rsidP="001C12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1C12FC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>№                                                                                                                      от «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</w:t>
      </w:r>
      <w:r w:rsidRPr="001C12FC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         </w:t>
      </w:r>
      <w:r w:rsidRPr="001C12FC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 2024 г.                    </w:t>
      </w:r>
    </w:p>
    <w:tbl>
      <w:tblPr>
        <w:tblStyle w:val="af1"/>
        <w:tblpPr w:leftFromText="180" w:rightFromText="180" w:vertAnchor="text" w:horzAnchor="margin" w:tblpY="677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1C12FC" w:rsidTr="001C12F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1C12FC" w:rsidRDefault="001C12FC" w:rsidP="001C12FC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«Акбашское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12FC" w:rsidRDefault="001C12FC" w:rsidP="001C12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EB0" w:rsidRDefault="00F93EB0">
      <w:pPr>
        <w:spacing w:after="0"/>
        <w:rPr>
          <w:b/>
          <w:sz w:val="24"/>
          <w:szCs w:val="24"/>
        </w:rPr>
      </w:pPr>
    </w:p>
    <w:p w:rsidR="00F93EB0" w:rsidRDefault="00F93EB0">
      <w:pPr>
        <w:spacing w:after="0"/>
        <w:rPr>
          <w:b/>
          <w:sz w:val="24"/>
          <w:szCs w:val="24"/>
        </w:rPr>
      </w:pPr>
    </w:p>
    <w:p w:rsidR="00F93EB0" w:rsidRDefault="00F93EB0">
      <w:pPr>
        <w:spacing w:after="0"/>
        <w:rPr>
          <w:b/>
          <w:sz w:val="24"/>
          <w:szCs w:val="24"/>
        </w:rPr>
      </w:pPr>
    </w:p>
    <w:p w:rsidR="00F93EB0" w:rsidRDefault="001C12FC" w:rsidP="001C12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         </w:t>
      </w:r>
      <w:r w:rsidR="001E63E5"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Pr="001C12FC">
        <w:rPr>
          <w:rFonts w:eastAsia="Calibri" w:cs="Times New Roman"/>
          <w:sz w:val="28"/>
          <w:szCs w:val="28"/>
        </w:rPr>
        <w:t xml:space="preserve">Акбашское </w:t>
      </w:r>
      <w:r w:rsidR="001E63E5">
        <w:rPr>
          <w:rFonts w:eastAsia="Times New Roman" w:cs="Times New Roman"/>
          <w:sz w:val="28"/>
          <w:szCs w:val="28"/>
        </w:rPr>
        <w:t>сельское поселение</w:t>
      </w:r>
      <w:r w:rsidR="001E63E5"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</w:t>
      </w:r>
      <w:r w:rsidRPr="001C12FC">
        <w:rPr>
          <w:rFonts w:eastAsia="Calibri" w:cs="Times New Roman"/>
          <w:sz w:val="28"/>
          <w:szCs w:val="28"/>
        </w:rPr>
        <w:t>Акбашско</w:t>
      </w:r>
      <w:r>
        <w:rPr>
          <w:rFonts w:eastAsia="Calibri" w:cs="Times New Roman"/>
          <w:sz w:val="28"/>
          <w:szCs w:val="28"/>
        </w:rPr>
        <w:t>го</w:t>
      </w:r>
      <w:r w:rsidR="001E63E5">
        <w:rPr>
          <w:rFonts w:eastAsia="Calibri" w:cs="Times New Roman"/>
          <w:sz w:val="28"/>
          <w:szCs w:val="28"/>
        </w:rPr>
        <w:t xml:space="preserve"> </w:t>
      </w:r>
      <w:r w:rsidR="001E63E5">
        <w:rPr>
          <w:rFonts w:eastAsia="Times New Roman" w:cs="Times New Roman"/>
          <w:sz w:val="28"/>
          <w:szCs w:val="28"/>
        </w:rPr>
        <w:t xml:space="preserve">сельского поселения </w:t>
      </w:r>
      <w:r w:rsidR="001E63E5">
        <w:rPr>
          <w:rFonts w:eastAsia="Calibri" w:cs="Times New Roman"/>
          <w:sz w:val="28"/>
          <w:szCs w:val="28"/>
        </w:rPr>
        <w:t xml:space="preserve">Ютазинского муниципального района Республики Татарстан, утвержденного решением Совета </w:t>
      </w:r>
      <w:r w:rsidRPr="001C12FC">
        <w:rPr>
          <w:rFonts w:eastAsia="Calibri" w:cs="Times New Roman"/>
          <w:sz w:val="28"/>
          <w:szCs w:val="28"/>
        </w:rPr>
        <w:t>Акбашско</w:t>
      </w:r>
      <w:r>
        <w:rPr>
          <w:rFonts w:eastAsia="Calibri" w:cs="Times New Roman"/>
          <w:sz w:val="28"/>
          <w:szCs w:val="28"/>
        </w:rPr>
        <w:t>го</w:t>
      </w:r>
      <w:r w:rsidR="001E63E5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E85178">
        <w:rPr>
          <w:rFonts w:eastAsia="Calibri" w:cs="Times New Roman"/>
          <w:sz w:val="28"/>
          <w:szCs w:val="28"/>
        </w:rPr>
        <w:t>23.12.20</w:t>
      </w:r>
      <w:r w:rsidR="00F65A8D">
        <w:rPr>
          <w:rFonts w:eastAsia="Calibri" w:cs="Times New Roman"/>
          <w:sz w:val="28"/>
          <w:szCs w:val="28"/>
        </w:rPr>
        <w:t>19</w:t>
      </w:r>
      <w:r w:rsidR="001E63E5">
        <w:rPr>
          <w:rFonts w:eastAsia="Calibri" w:cs="Times New Roman"/>
          <w:sz w:val="28"/>
          <w:szCs w:val="28"/>
        </w:rPr>
        <w:t xml:space="preserve"> № </w:t>
      </w:r>
      <w:r w:rsidR="0099060D">
        <w:rPr>
          <w:rFonts w:eastAsia="Calibri" w:cs="Times New Roman"/>
          <w:sz w:val="28"/>
          <w:szCs w:val="28"/>
        </w:rPr>
        <w:t>23</w:t>
      </w:r>
      <w:r w:rsidR="001E63E5">
        <w:rPr>
          <w:rFonts w:eastAsia="Calibri" w:cs="Times New Roman"/>
          <w:sz w:val="28"/>
          <w:szCs w:val="28"/>
        </w:rPr>
        <w:t>,</w:t>
      </w:r>
      <w:r w:rsidR="001E63E5">
        <w:t xml:space="preserve"> </w:t>
      </w:r>
      <w:r w:rsidR="001E63E5"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 w:rsidRPr="001C12FC">
        <w:rPr>
          <w:rFonts w:eastAsia="Calibri" w:cs="Times New Roman"/>
          <w:sz w:val="28"/>
          <w:szCs w:val="28"/>
        </w:rPr>
        <w:t>Акбашское</w:t>
      </w:r>
      <w:r w:rsidR="001E63E5"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утвержденного решением Совета </w:t>
      </w:r>
      <w:r w:rsidRPr="001C12FC">
        <w:rPr>
          <w:rFonts w:eastAsia="Calibri" w:cs="Times New Roman"/>
          <w:sz w:val="28"/>
          <w:szCs w:val="28"/>
        </w:rPr>
        <w:t>Акбашско</w:t>
      </w:r>
      <w:r>
        <w:rPr>
          <w:rFonts w:eastAsia="Calibri" w:cs="Times New Roman"/>
          <w:sz w:val="28"/>
          <w:szCs w:val="28"/>
        </w:rPr>
        <w:t>го</w:t>
      </w:r>
      <w:r w:rsidR="001E63E5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F25EA2">
        <w:rPr>
          <w:rFonts w:eastAsia="Calibri" w:cs="Times New Roman"/>
          <w:sz w:val="28"/>
          <w:szCs w:val="28"/>
        </w:rPr>
        <w:t>2</w:t>
      </w:r>
      <w:r w:rsidR="0099060D">
        <w:rPr>
          <w:rFonts w:eastAsia="Calibri" w:cs="Times New Roman"/>
          <w:sz w:val="28"/>
          <w:szCs w:val="28"/>
        </w:rPr>
        <w:t>1</w:t>
      </w:r>
      <w:r w:rsidR="00F25EA2">
        <w:rPr>
          <w:rFonts w:eastAsia="Calibri" w:cs="Times New Roman"/>
          <w:sz w:val="28"/>
          <w:szCs w:val="28"/>
        </w:rPr>
        <w:t>.1</w:t>
      </w:r>
      <w:r w:rsidR="0099060D">
        <w:rPr>
          <w:rFonts w:eastAsia="Calibri" w:cs="Times New Roman"/>
          <w:sz w:val="28"/>
          <w:szCs w:val="28"/>
        </w:rPr>
        <w:t>2</w:t>
      </w:r>
      <w:r w:rsidR="00F25EA2">
        <w:rPr>
          <w:rFonts w:eastAsia="Calibri" w:cs="Times New Roman"/>
          <w:sz w:val="28"/>
          <w:szCs w:val="28"/>
        </w:rPr>
        <w:t>.2021 г</w:t>
      </w:r>
      <w:r w:rsidR="001E63E5">
        <w:rPr>
          <w:rFonts w:eastAsia="Calibri" w:cs="Times New Roman"/>
          <w:sz w:val="28"/>
          <w:szCs w:val="28"/>
        </w:rPr>
        <w:t xml:space="preserve"> № </w:t>
      </w:r>
      <w:r w:rsidR="00F25EA2">
        <w:rPr>
          <w:rFonts w:eastAsia="Calibri" w:cs="Times New Roman"/>
          <w:sz w:val="28"/>
          <w:szCs w:val="28"/>
        </w:rPr>
        <w:t>1</w:t>
      </w:r>
      <w:r w:rsidR="0099060D">
        <w:rPr>
          <w:rFonts w:eastAsia="Calibri" w:cs="Times New Roman"/>
          <w:sz w:val="28"/>
          <w:szCs w:val="28"/>
        </w:rPr>
        <w:t>9</w:t>
      </w:r>
      <w:r w:rsidR="001E63E5">
        <w:rPr>
          <w:rFonts w:eastAsia="Calibri" w:cs="Times New Roman"/>
          <w:sz w:val="28"/>
          <w:szCs w:val="28"/>
        </w:rPr>
        <w:t xml:space="preserve">, Исполнительный комитет </w:t>
      </w:r>
      <w:r w:rsidRPr="001C12FC">
        <w:rPr>
          <w:rFonts w:eastAsia="Calibri" w:cs="Times New Roman"/>
          <w:sz w:val="28"/>
          <w:szCs w:val="28"/>
        </w:rPr>
        <w:t>Акбашско</w:t>
      </w:r>
      <w:r>
        <w:rPr>
          <w:rFonts w:eastAsia="Calibri" w:cs="Times New Roman"/>
          <w:sz w:val="28"/>
          <w:szCs w:val="28"/>
        </w:rPr>
        <w:t>го</w:t>
      </w:r>
      <w:r w:rsidR="001E63E5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F93EB0" w:rsidRDefault="00F93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1E63E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</w:t>
      </w:r>
      <w:r>
        <w:rPr>
          <w:rFonts w:eastAsia="Calibri" w:cs="Times New Roman"/>
          <w:sz w:val="28"/>
          <w:szCs w:val="28"/>
        </w:rPr>
        <w:lastRenderedPageBreak/>
        <w:t>сфере благоустройства на территории муниципального образования «</w:t>
      </w:r>
      <w:r w:rsidR="001C12FC" w:rsidRPr="001C12FC">
        <w:rPr>
          <w:rFonts w:eastAsia="Calibri" w:cs="Times New Roman"/>
          <w:sz w:val="28"/>
          <w:szCs w:val="28"/>
        </w:rPr>
        <w:t>Акбашское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год.</w:t>
      </w:r>
    </w:p>
    <w:p w:rsidR="00F93EB0" w:rsidRDefault="001E63E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:rsidR="00F93EB0" w:rsidRDefault="001E63E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F93EB0" w:rsidRDefault="001E63E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F93EB0" w:rsidRDefault="00F93EB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2FC" w:rsidRDefault="001E63E5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Глава</w:t>
      </w:r>
      <w:r w:rsidR="001C1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2FC" w:rsidRPr="001C12FC">
        <w:rPr>
          <w:rFonts w:eastAsia="Calibri" w:cs="Times New Roman"/>
          <w:sz w:val="28"/>
          <w:szCs w:val="28"/>
        </w:rPr>
        <w:t>Акбашско</w:t>
      </w:r>
      <w:r w:rsidR="001C12FC">
        <w:rPr>
          <w:rFonts w:eastAsia="Calibri" w:cs="Times New Roman"/>
          <w:sz w:val="28"/>
          <w:szCs w:val="28"/>
        </w:rPr>
        <w:t>го</w:t>
      </w:r>
    </w:p>
    <w:p w:rsidR="00F93EB0" w:rsidRDefault="001C12F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 w:rsidRPr="001C12FC">
        <w:rPr>
          <w:rFonts w:eastAsia="Calibri" w:cs="Times New Roman"/>
          <w:sz w:val="28"/>
          <w:szCs w:val="28"/>
        </w:rPr>
        <w:t xml:space="preserve"> </w:t>
      </w:r>
      <w:r w:rsidR="001E63E5">
        <w:rPr>
          <w:rFonts w:eastAsia="Calibri" w:cs="Times New Roman"/>
          <w:sz w:val="28"/>
          <w:szCs w:val="28"/>
        </w:rPr>
        <w:t xml:space="preserve">сельского поселения                              </w:t>
      </w:r>
      <w:r>
        <w:rPr>
          <w:rFonts w:eastAsia="Calibri" w:cs="Times New Roman"/>
          <w:sz w:val="28"/>
          <w:szCs w:val="28"/>
        </w:rPr>
        <w:t xml:space="preserve">               И.Р.Сахибуллина</w:t>
      </w: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1E63E5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:rsidR="00F93EB0" w:rsidRDefault="001E63E5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F93EB0" w:rsidRDefault="00F65A8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Акбашского</w:t>
      </w:r>
      <w:r w:rsidR="001E63E5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F93EB0" w:rsidRDefault="001E63E5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 20___ г. № ______</w:t>
      </w:r>
    </w:p>
    <w:p w:rsidR="00F93EB0" w:rsidRDefault="00F93EB0">
      <w:pPr>
        <w:spacing w:after="0" w:line="240" w:lineRule="auto"/>
        <w:jc w:val="both"/>
        <w:rPr>
          <w:sz w:val="28"/>
          <w:szCs w:val="28"/>
        </w:rPr>
      </w:pPr>
    </w:p>
    <w:p w:rsidR="00F93EB0" w:rsidRDefault="00F93EB0">
      <w:pPr>
        <w:spacing w:after="0" w:line="240" w:lineRule="auto"/>
        <w:jc w:val="both"/>
        <w:rPr>
          <w:sz w:val="28"/>
          <w:szCs w:val="28"/>
        </w:rPr>
      </w:pPr>
    </w:p>
    <w:p w:rsidR="00F93EB0" w:rsidRDefault="001E63E5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 w:rsidR="00F65A8D">
        <w:rPr>
          <w:rFonts w:eastAsia="Calibri" w:cs="Times New Roman"/>
          <w:sz w:val="28"/>
          <w:szCs w:val="28"/>
        </w:rPr>
        <w:t xml:space="preserve">Акбашское </w:t>
      </w:r>
      <w:r>
        <w:rPr>
          <w:rFonts w:eastAsia="Calibri" w:cs="Times New Roman"/>
          <w:sz w:val="28"/>
          <w:szCs w:val="28"/>
        </w:rPr>
        <w:t xml:space="preserve">сельское поселение» Ютазинского муниципального района Республики Татарстан на 2025 год </w:t>
      </w: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1E63E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</w:t>
      </w:r>
      <w:r w:rsidR="00F65A8D">
        <w:rPr>
          <w:rFonts w:eastAsia="Calibri" w:cs="Times New Roman"/>
          <w:sz w:val="28"/>
          <w:szCs w:val="28"/>
          <w:lang w:eastAsia="ru-RU"/>
        </w:rPr>
        <w:t>Акбашское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3EB0" w:rsidRDefault="001E63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F65A8D" w:rsidRPr="00F65A8D">
        <w:rPr>
          <w:rFonts w:eastAsia="Calibri" w:cs="Times New Roman"/>
          <w:sz w:val="28"/>
          <w:szCs w:val="28"/>
          <w:lang w:eastAsia="ru-RU"/>
        </w:rPr>
        <w:t>Акбашского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:rsidR="00F93EB0" w:rsidRDefault="00F93E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EB0" w:rsidRDefault="001E6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93EB0" w:rsidRDefault="00F93EB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F93EB0" w:rsidRDefault="001E6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</w:t>
      </w:r>
      <w:r w:rsidR="00F65A8D" w:rsidRPr="00F65A8D">
        <w:rPr>
          <w:rFonts w:eastAsia="Calibri" w:cs="Times New Roman"/>
          <w:sz w:val="28"/>
          <w:szCs w:val="28"/>
          <w:lang w:eastAsia="ru-RU"/>
        </w:rPr>
        <w:t>Акбашского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F65A8D" w:rsidRPr="00F65A8D">
        <w:rPr>
          <w:rFonts w:eastAsia="Calibri" w:cs="Times New Roman"/>
          <w:sz w:val="28"/>
          <w:szCs w:val="28"/>
          <w:lang w:eastAsia="ru-RU"/>
        </w:rPr>
        <w:t>Акбашского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F65A8D">
        <w:rPr>
          <w:rFonts w:eastAsia="Calibri" w:cs="Times New Roman"/>
          <w:sz w:val="28"/>
          <w:szCs w:val="28"/>
          <w:lang w:eastAsia="ru-RU"/>
        </w:rPr>
        <w:t>23.12.2019</w:t>
      </w:r>
      <w:r>
        <w:rPr>
          <w:rFonts w:eastAsia="Calibri" w:cs="Times New Roman"/>
          <w:sz w:val="28"/>
          <w:szCs w:val="28"/>
          <w:lang w:eastAsia="ru-RU"/>
        </w:rPr>
        <w:t xml:space="preserve"> № </w:t>
      </w:r>
      <w:r w:rsidR="00F65A8D">
        <w:rPr>
          <w:rFonts w:eastAsia="Calibri" w:cs="Times New Roman"/>
          <w:sz w:val="28"/>
          <w:szCs w:val="28"/>
          <w:lang w:eastAsia="ru-RU"/>
        </w:rPr>
        <w:t>23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93EB0" w:rsidRDefault="001E6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93EB0" w:rsidRDefault="00F93E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F93EB0" w:rsidRDefault="001E6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F93EB0" w:rsidRDefault="00F93E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93EB0" w:rsidRDefault="001E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93EB0" w:rsidRDefault="001E6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F93EB0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3EB0" w:rsidRDefault="001E63E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93EB0" w:rsidRDefault="001E63E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F93EB0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93EB0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93EB0" w:rsidRDefault="00F93EB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93EB0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F93EB0" w:rsidRDefault="00F93EB0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F93EB0" w:rsidRDefault="001E63E5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1E63E5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F93EB0" w:rsidRDefault="00F93EB0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EB0" w:rsidRDefault="00F93EB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EB0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93EB0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:rsidR="00F93EB0" w:rsidRDefault="00F93EB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F93EB0" w:rsidRDefault="00F93EB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EB0" w:rsidRDefault="00F93EB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B0" w:rsidRDefault="001E63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F93EB0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F93EB0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F93EB0" w:rsidRDefault="00F93EB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93EB0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F93EB0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F93EB0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F93EB0" w:rsidRDefault="00F93EB0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EB0" w:rsidRDefault="001E63E5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B0" w:rsidRDefault="00F93E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3EB0" w:rsidRDefault="00F93EB0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F93EB0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9E" w:rsidRDefault="00E37A9E">
      <w:pPr>
        <w:spacing w:after="0" w:line="240" w:lineRule="auto"/>
      </w:pPr>
      <w:r>
        <w:separator/>
      </w:r>
    </w:p>
  </w:endnote>
  <w:endnote w:type="continuationSeparator" w:id="0">
    <w:p w:rsidR="00E37A9E" w:rsidRDefault="00E3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9E" w:rsidRDefault="00E37A9E">
      <w:pPr>
        <w:spacing w:after="0" w:line="240" w:lineRule="auto"/>
      </w:pPr>
      <w:r>
        <w:separator/>
      </w:r>
    </w:p>
  </w:footnote>
  <w:footnote w:type="continuationSeparator" w:id="0">
    <w:p w:rsidR="00E37A9E" w:rsidRDefault="00E3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B0" w:rsidRDefault="00F93EB0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B0"/>
    <w:rsid w:val="00172405"/>
    <w:rsid w:val="001C12FC"/>
    <w:rsid w:val="001E63E5"/>
    <w:rsid w:val="00203E83"/>
    <w:rsid w:val="0099060D"/>
    <w:rsid w:val="00E37A9E"/>
    <w:rsid w:val="00E85178"/>
    <w:rsid w:val="00EE12A6"/>
    <w:rsid w:val="00F25EA2"/>
    <w:rsid w:val="00F65A8D"/>
    <w:rsid w:val="00F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7F060-207E-40F8-9394-E83470F8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11C4-D446-40B9-B4E7-40C10269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2024-11-14T13:28:00Z</cp:lastPrinted>
  <dcterms:created xsi:type="dcterms:W3CDTF">2024-11-19T10:50:00Z</dcterms:created>
  <dcterms:modified xsi:type="dcterms:W3CDTF">2024-11-19T10:50:00Z</dcterms:modified>
  <dc:language>ru-RU</dc:language>
</cp:coreProperties>
</file>