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ind w:left="-709" w:firstLine="529"/>
        <w:jc w:val="right"/>
        <w:rPr/>
      </w:pPr>
      <w:bookmarkStart w:id="0" w:name="_GoBack"/>
      <w:bookmarkEnd w:id="0"/>
      <w:r>
        <w:rPr/>
        <w:t xml:space="preserve">          </w:t>
      </w:r>
      <w:r>
        <w:rPr/>
        <w:t>Проект</w:t>
      </w:r>
    </w:p>
    <w:p>
      <w:pPr>
        <w:pStyle w:val="Style17"/>
        <w:ind w:left="-709" w:firstLine="529"/>
        <w:jc w:val="right"/>
        <w:rPr/>
      </w:pPr>
      <w:r>
        <w:rPr/>
      </w:r>
    </w:p>
    <w:p>
      <w:pPr>
        <w:pStyle w:val="Style17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БАЙРЯКИ-ТАМАКСКОГО СЕЛЬСКОГО ПОСЕЛЕНИЯ</w:t>
      </w:r>
    </w:p>
    <w:p>
      <w:pPr>
        <w:pStyle w:val="Style17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Style17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7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7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с.Байряки-Тамак            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Байряки-Тамакского сельского 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района №27 от 12.12.2024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Байряки-Тамакского 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Совета Байряки-Тамакского сельского поселения Ютазинского муниципального района №27 от 12.12.2024г. «О бюджете Байряки-Тамакского сельского поселения на 2025 год и на плановый период 2026 и 2027 годов» следующие изменения и дополнения: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Style17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«6154,6» заменить цифрой «6172,6»</w:t>
      </w:r>
    </w:p>
    <w:p>
      <w:pPr>
        <w:pStyle w:val="Style17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«0» заменить цифрой «18,0».</w:t>
      </w:r>
    </w:p>
    <w:p>
      <w:pPr>
        <w:pStyle w:val="Style1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Style17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Style1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Байряки-Тамакского сельского поселения на 2025 год 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3"/>
        <w:gridCol w:w="5672"/>
        <w:gridCol w:w="1276"/>
      </w:tblGrid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Код показателя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Сумма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-18,0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-18,0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-6154,6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-6154,6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-6154,6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-6154,6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6172,6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6172,6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6172,6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6172,6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  <w:t xml:space="preserve">    </w:t>
      </w:r>
    </w:p>
    <w:p>
      <w:pPr>
        <w:pStyle w:val="Normal"/>
        <w:rPr>
          <w:bCs/>
        </w:rPr>
      </w:pPr>
      <w:r>
        <w:rPr>
          <w:bCs/>
        </w:rPr>
        <w:t xml:space="preserve">   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Байряки-Тамакского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1362,3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1 01 00000 00 0000 000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47,0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1 01 02000 01 0000 110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доходы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47,0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1 05 00000 00 0000 000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совокупный доход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85,0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1 05 03000 01 0000 110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Единый сельскохозяйственный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85,0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1 06 00000 00 0000000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Налоги на имущество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1230,0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1 06 01000 00 0000 110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имущество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230,0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1 06 06000 00 0000 110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Земельный 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1000,0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1 08 00000 00 0000 000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Государственная пошлина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0,3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1 08 04020 01 0000 110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0,3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4792,3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2 02 00000  00 0000 000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4792,3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2 02 16001 00 0000 150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Дотации на выравнивание бюджетной обеспеченности из бюджетов муниципальных районов, городских округов с внутригородским делением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2 02 16001 10 0000 150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Дотации бюджетам сельских поселений на выравнивание бюджетной обеспеченности из бюджетов муниципальных районов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</w:rPr>
        <w:t>2 02 29999 10 0000 150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Прочие субсидии бюджетам сельских поселений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2 02 35118 00 0000 150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2 02 35118 10 0000 150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ВСЕГО ДОХОДОВ</w:t>
      </w:r>
    </w:p>
    <w:p>
      <w:pPr>
        <w:pStyle w:val="ConsNormal"/>
        <w:widowControl w:val="false"/>
        <w:ind w:right="33" w:hanging="0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6154,6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расходов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на 2025год                    </w:t>
      </w:r>
      <w:r>
        <w:rPr>
          <w:bCs/>
        </w:rPr>
        <w:t>тыс.руб</w:t>
      </w:r>
    </w:p>
    <w:tbl>
      <w:tblPr>
        <w:tblW w:w="105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27"/>
        <w:gridCol w:w="801"/>
        <w:gridCol w:w="865"/>
        <w:gridCol w:w="1237"/>
        <w:gridCol w:w="1387"/>
        <w:gridCol w:w="673"/>
        <w:gridCol w:w="1602"/>
      </w:tblGrid>
      <w:tr>
        <w:trPr>
          <w:trHeight w:val="42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5 477,1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894,2</w:t>
            </w:r>
          </w:p>
        </w:tc>
      </w:tr>
      <w:tr>
        <w:trPr>
          <w:trHeight w:val="13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15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bookmarkStart w:id="1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1"/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bookmarkStart w:id="2" w:name="RANGE!F19"/>
            <w:r>
              <w:rPr>
                <w:sz w:val="22"/>
                <w:szCs w:val="22"/>
              </w:rPr>
              <w:t>800</w:t>
            </w:r>
            <w:bookmarkEnd w:id="2"/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29,3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29,3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29,3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17,8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</w:tr>
      <w:tr>
        <w:trPr>
          <w:trHeight w:val="90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74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112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405,1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405,1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405,1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405,1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104,2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3 927,3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3 927,3</w:t>
            </w:r>
          </w:p>
        </w:tc>
      </w:tr>
      <w:tr>
        <w:trPr>
          <w:trHeight w:val="157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1 020,0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1 020,0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990,0</w:t>
            </w:r>
          </w:p>
        </w:tc>
      </w:tr>
      <w:tr>
        <w:trPr>
          <w:trHeight w:val="6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990,0</w:t>
            </w:r>
          </w:p>
        </w:tc>
      </w:tr>
      <w:tr>
        <w:trPr>
          <w:trHeight w:val="900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90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57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6 172,6</w:t>
            </w:r>
          </w:p>
        </w:tc>
      </w:tr>
    </w:tbl>
    <w:p>
      <w:pPr>
        <w:pStyle w:val="Normal"/>
        <w:ind w:left="-567" w:firstLine="567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</w:rPr>
      </w:pPr>
      <w:r>
        <w:rPr>
          <w:bCs/>
        </w:rPr>
        <w:t>3)в статье 4 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/>
      </w:pPr>
      <w:r>
        <w:rPr/>
        <w:t>тыс.руб.</w:t>
      </w:r>
    </w:p>
    <w:tbl>
      <w:tblPr>
        <w:tblW w:w="105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14"/>
        <w:gridCol w:w="932"/>
        <w:gridCol w:w="1258"/>
        <w:gridCol w:w="1366"/>
        <w:gridCol w:w="893"/>
        <w:gridCol w:w="1629"/>
      </w:tblGrid>
      <w:tr>
        <w:trPr>
          <w:trHeight w:val="42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1 589,7</w:t>
            </w:r>
          </w:p>
        </w:tc>
      </w:tr>
      <w:tr>
        <w:trPr>
          <w:trHeight w:val="90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5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135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15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29,3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29,3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29,3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17,8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</w:tr>
      <w:tr>
        <w:trPr>
          <w:trHeight w:val="90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112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405,1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405,1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405,1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405,1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104,2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3 927,3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3 927,3</w:t>
            </w:r>
          </w:p>
        </w:tc>
      </w:tr>
      <w:tr>
        <w:trPr>
          <w:trHeight w:val="157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1 020,0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1 020,0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990,0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990,0</w:t>
            </w:r>
          </w:p>
        </w:tc>
      </w:tr>
      <w:tr>
        <w:trPr>
          <w:trHeight w:val="255" w:hRule="atLeast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6 172,6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/>
      </w:pPr>
      <w:r>
        <w:rPr/>
        <w:t>тыс.руб.</w:t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tbl>
      <w:tblPr>
        <w:tblW w:w="1056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4"/>
        <w:gridCol w:w="1415"/>
        <w:gridCol w:w="851"/>
        <w:gridCol w:w="1136"/>
        <w:gridCol w:w="1635"/>
      </w:tblGrid>
      <w:tr>
        <w:trPr>
          <w:trHeight w:val="42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3 265,3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3 265,3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152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864,8</w:t>
            </w:r>
          </w:p>
        </w:tc>
      </w:tr>
      <w:tr>
        <w:trPr>
          <w:trHeight w:val="1333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513,1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349,7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990,0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990,0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990,0</w:t>
            </w:r>
          </w:p>
        </w:tc>
      </w:tr>
      <w:tr>
        <w:trPr>
          <w:trHeight w:val="112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30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481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778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67,6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</w:tr>
      <w:tr>
        <w:trPr>
          <w:trHeight w:val="16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>
        <w:trPr>
          <w:trHeight w:val="8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>
        <w:trPr>
          <w:trHeight w:val="523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104,2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101,2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17,8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17,8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</w:tr>
      <w:tr>
        <w:trPr>
          <w:trHeight w:val="90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950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6 172,6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Style20"/>
        <w:ind w:left="5040" w:hanging="0"/>
        <w:jc w:val="both"/>
        <w:rPr>
          <w:b/>
        </w:rPr>
      </w:pPr>
      <w:r>
        <w:rPr>
          <w:b/>
        </w:rPr>
      </w:r>
    </w:p>
    <w:p>
      <w:pPr>
        <w:pStyle w:val="Style1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Статья 2.</w:t>
      </w:r>
    </w:p>
    <w:p>
      <w:pPr>
        <w:pStyle w:val="Style17"/>
        <w:jc w:val="left"/>
        <w:rPr/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2025 года.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 Байряки-Тамакского</w:t>
      </w:r>
    </w:p>
    <w:p>
      <w:pPr>
        <w:pStyle w:val="Normal"/>
        <w:rPr>
          <w:szCs w:val="28"/>
        </w:rPr>
      </w:pPr>
      <w:r>
        <w:rPr/>
        <w:t>сельского поселения                                                                                             З.М.Аглиева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851" w:right="70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qFormat/>
    <w:rsid w:val="00894cc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Normal"/>
    <w:next w:val="Normal"/>
    <w:link w:val="31"/>
    <w:qFormat/>
    <w:rsid w:val="00f9436d"/>
    <w:pPr>
      <w:keepNext w:val="true"/>
      <w:jc w:val="both"/>
      <w:outlineLvl w:val="2"/>
    </w:pPr>
    <w:rPr/>
  </w:style>
  <w:style w:type="paragraph" w:styleId="4">
    <w:name w:val="Heading 4"/>
    <w:basedOn w:val="Normal"/>
    <w:next w:val="Normal"/>
    <w:link w:val="41"/>
    <w:qFormat/>
    <w:rsid w:val="00f9436d"/>
    <w:pPr>
      <w:keepNext w:val="true"/>
      <w:jc w:val="both"/>
      <w:outlineLvl w:val="3"/>
    </w:pPr>
    <w:rPr>
      <w:b/>
      <w:bCs/>
    </w:rPr>
  </w:style>
  <w:style w:type="paragraph" w:styleId="5">
    <w:name w:val="Heading 5"/>
    <w:basedOn w:val="Normal"/>
    <w:next w:val="Normal"/>
    <w:link w:val="51"/>
    <w:qFormat/>
    <w:rsid w:val="00f9436d"/>
    <w:pPr>
      <w:keepNext w:val="true"/>
      <w:jc w:val="center"/>
      <w:outlineLvl w:val="4"/>
    </w:pPr>
    <w:rPr/>
  </w:style>
  <w:style w:type="paragraph" w:styleId="6">
    <w:name w:val="Heading 6"/>
    <w:basedOn w:val="Normal"/>
    <w:next w:val="Normal"/>
    <w:link w:val="61"/>
    <w:qFormat/>
    <w:rsid w:val="00f9436d"/>
    <w:pPr>
      <w:keepNext w:val="true"/>
      <w:outlineLvl w:val="5"/>
    </w:pPr>
    <w:rPr>
      <w:b/>
      <w:bCs/>
    </w:rPr>
  </w:style>
  <w:style w:type="paragraph" w:styleId="9">
    <w:name w:val="Heading 9"/>
    <w:basedOn w:val="Normal"/>
    <w:next w:val="Normal"/>
    <w:link w:val="91"/>
    <w:qFormat/>
    <w:rsid w:val="00f9436d"/>
    <w:pPr>
      <w:keepNext w:val="true"/>
      <w:ind w:left="34" w:hanging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1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1" w:customStyle="1">
    <w:name w:val="Заголовок 4 Знак"/>
    <w:basedOn w:val="DefaultParagraphFont"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1" w:customStyle="1">
    <w:name w:val="Заголовок 5 Знак"/>
    <w:basedOn w:val="DefaultParagraphFont"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1" w:customStyle="1">
    <w:name w:val="Заголовок 9 Знак"/>
    <w:basedOn w:val="DefaultParagraphFont"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21" w:customStyle="1">
    <w:name w:val="Заголовок 2 Знак"/>
    <w:basedOn w:val="DefaultParagraphFont"/>
    <w:qFormat/>
    <w:rsid w:val="00894ccc"/>
    <w:rPr>
      <w:rFonts w:ascii="Arial" w:hAnsi="Arial" w:cs="Arial"/>
      <w:b/>
      <w:bCs/>
      <w:sz w:val="22"/>
      <w:szCs w:val="22"/>
      <w:lang w:eastAsia="zh-CN"/>
    </w:rPr>
  </w:style>
  <w:style w:type="character" w:styleId="Style11" w:customStyle="1">
    <w:name w:val="Название Знак"/>
    <w:qFormat/>
    <w:rsid w:val="00cb44d6"/>
    <w:rPr>
      <w:sz w:val="28"/>
      <w:szCs w:val="24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Style20">
    <w:name w:val="Body Text Indent"/>
    <w:basedOn w:val="Normal"/>
    <w:link w:val="Style10"/>
    <w:rsid w:val="00961495"/>
    <w:pPr>
      <w:ind w:left="5400" w:hanging="0"/>
    </w:pPr>
    <w:rPr/>
  </w:style>
  <w:style w:type="paragraph" w:styleId="ListParagraph">
    <w:name w:val="List Paragraph"/>
    <w:basedOn w:val="Normal"/>
    <w:uiPriority w:val="34"/>
    <w:qFormat/>
    <w:rsid w:val="00d062f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558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0AC4-52B9-4671-9992-AABCEA42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4651</TotalTime>
  <Application>LibreOffice/7.5.6.2$Linux_X86_64 LibreOffice_project/50$Build-2</Application>
  <AppVersion>15.0000</AppVersion>
  <Pages>10</Pages>
  <Words>2455</Words>
  <Characters>16381</Characters>
  <CharactersWithSpaces>18127</CharactersWithSpaces>
  <Paragraphs>990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2022-07-20T12:23:00Z</cp:lastPrinted>
  <dcterms:modified xsi:type="dcterms:W3CDTF">2025-04-21T10:28:51Z</dcterms:modified>
  <cp:revision>145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