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right"/>
        <w:rPr>
          <w:sz w:val="28"/>
          <w:szCs w:val="28"/>
        </w:rPr>
      </w:pPr>
      <w:r>
        <w:rPr>
          <w:sz w:val="28"/>
          <w:szCs w:val="28"/>
        </w:rPr>
        <w:t>Проект</w:t>
      </w:r>
    </w:p>
    <w:p>
      <w:pPr>
        <w:pStyle w:val="Normal"/>
        <w:jc w:val="right"/>
        <w:rPr>
          <w:sz w:val="28"/>
          <w:szCs w:val="28"/>
        </w:rPr>
      </w:pPr>
      <w:r>
        <w:rPr/>
      </w:r>
    </w:p>
    <w:p>
      <w:pPr>
        <w:pStyle w:val="Normal"/>
        <w:jc w:val="center"/>
        <w:rPr>
          <w:rFonts w:ascii="Arial" w:hAnsi="Arial" w:cs="Arial"/>
        </w:rPr>
      </w:pPr>
      <w:r>
        <w:rPr>
          <w:rFonts w:cs="Arial" w:ascii="Arial" w:hAnsi="Arial"/>
        </w:rPr>
        <w:t>СОВЕТ ТАШКИЧУЙСКОГО СЕЛЬСКОГО ПОСЕЛЕНИЯ</w:t>
      </w:r>
    </w:p>
    <w:p>
      <w:pPr>
        <w:pStyle w:val="Normal"/>
        <w:jc w:val="center"/>
        <w:rPr>
          <w:rFonts w:ascii="Arial" w:hAnsi="Arial" w:cs="Arial"/>
        </w:rPr>
      </w:pPr>
      <w:r>
        <w:rPr>
          <w:rFonts w:cs="Arial" w:ascii="Arial" w:hAnsi="Arial"/>
        </w:rPr>
        <w:t>ЮТАЗИНСКОГО МУНИЦИПАЛЬНОГО РАЙОНА</w:t>
      </w:r>
    </w:p>
    <w:p>
      <w:pPr>
        <w:pStyle w:val="Normal"/>
        <w:jc w:val="center"/>
        <w:rPr>
          <w:rFonts w:ascii="Arial" w:hAnsi="Arial" w:cs="Arial"/>
        </w:rPr>
      </w:pPr>
      <w:r>
        <w:rPr>
          <w:rFonts w:cs="Arial" w:ascii="Arial" w:hAnsi="Arial"/>
        </w:rPr>
        <w:t>РЕСПУБЛИКИ ТАТАРСТАН</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РЕШЕНИЕ № 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Д.Малые Уруссу                                                                   _________ 2025 г.</w:t>
      </w:r>
    </w:p>
    <w:p>
      <w:pPr>
        <w:pStyle w:val="Normal"/>
        <w:widowControl w:val="false"/>
        <w:jc w:val="center"/>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 xml:space="preserve">О внесении изменений в решение Совета </w:t>
      </w:r>
    </w:p>
    <w:p>
      <w:pPr>
        <w:pStyle w:val="Normal"/>
        <w:widowControl w:val="false"/>
        <w:jc w:val="both"/>
        <w:rPr>
          <w:rFonts w:ascii="Arial" w:hAnsi="Arial" w:cs="Arial"/>
        </w:rPr>
      </w:pPr>
      <w:r>
        <w:rPr>
          <w:rFonts w:cs="Arial" w:ascii="Arial" w:hAnsi="Arial"/>
        </w:rPr>
        <w:t xml:space="preserve">Ташкичуйского сельского поселения </w:t>
      </w:r>
    </w:p>
    <w:p>
      <w:pPr>
        <w:pStyle w:val="Normal"/>
        <w:widowControl w:val="false"/>
        <w:jc w:val="both"/>
        <w:rPr>
          <w:rFonts w:ascii="Arial" w:hAnsi="Arial" w:cs="Arial"/>
        </w:rPr>
      </w:pPr>
      <w:r>
        <w:rPr>
          <w:rFonts w:cs="Arial" w:ascii="Arial" w:hAnsi="Arial"/>
        </w:rPr>
        <w:t xml:space="preserve">Ютазинского муниципального района </w:t>
      </w:r>
    </w:p>
    <w:p>
      <w:pPr>
        <w:pStyle w:val="Normal"/>
        <w:widowControl w:val="false"/>
        <w:jc w:val="both"/>
        <w:rPr>
          <w:rFonts w:ascii="Arial" w:hAnsi="Arial" w:cs="Arial"/>
        </w:rPr>
      </w:pPr>
      <w:r>
        <w:rPr>
          <w:rFonts w:cs="Arial" w:ascii="Arial" w:hAnsi="Arial"/>
        </w:rPr>
        <w:t xml:space="preserve">Республики Татарстан от 25.04.2024 г. № 8 </w:t>
      </w:r>
    </w:p>
    <w:p>
      <w:pPr>
        <w:pStyle w:val="Normal"/>
        <w:widowControl w:val="false"/>
        <w:jc w:val="both"/>
        <w:rPr>
          <w:rFonts w:ascii="Arial" w:hAnsi="Arial" w:cs="Arial"/>
          <w:b/>
          <w:bCs/>
        </w:rPr>
      </w:pPr>
      <w:r>
        <w:rPr>
          <w:rFonts w:cs="Arial" w:ascii="Arial" w:hAnsi="Arial"/>
        </w:rPr>
        <w:t>«О налоге на имущество физических лиц»</w:t>
      </w:r>
    </w:p>
    <w:p>
      <w:pPr>
        <w:pStyle w:val="Normal"/>
        <w:widowControl w:val="false"/>
        <w:ind w:firstLine="540"/>
        <w:jc w:val="both"/>
        <w:rPr>
          <w:rFonts w:ascii="Arial" w:hAnsi="Arial" w:cs="Arial"/>
          <w:b/>
          <w:bCs/>
        </w:rPr>
      </w:pPr>
      <w:r>
        <w:rPr>
          <w:rFonts w:cs="Arial" w:ascii="Arial" w:hAnsi="Arial"/>
          <w:b/>
          <w:bCs/>
        </w:rPr>
      </w:r>
    </w:p>
    <w:p>
      <w:pPr>
        <w:pStyle w:val="Normal"/>
        <w:widowControl w:val="false"/>
        <w:tabs>
          <w:tab w:val="clear" w:pos="708"/>
          <w:tab w:val="left" w:pos="709" w:leader="none"/>
        </w:tabs>
        <w:jc w:val="both"/>
        <w:rPr>
          <w:rFonts w:ascii="Arial" w:hAnsi="Arial" w:cs="Arial"/>
        </w:rPr>
      </w:pPr>
      <w:r>
        <w:rPr>
          <w:rFonts w:cs="Arial" w:ascii="Arial" w:hAnsi="Arial"/>
        </w:rPr>
        <w:tab/>
        <w:t xml:space="preserve">В соответствии с Налоговым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w:t>
      </w:r>
      <w:hyperlink r:id="rId2">
        <w:r>
          <w:rPr>
            <w:rStyle w:val="Hyperlink"/>
            <w:rFonts w:cs="Arial" w:ascii="Arial" w:hAnsi="Arial"/>
            <w:color w:val="000000"/>
            <w:u w:val="none"/>
          </w:rPr>
          <w:t>законом</w:t>
        </w:r>
      </w:hyperlink>
      <w:r>
        <w:rPr>
          <w:rFonts w:cs="Arial" w:ascii="Arial" w:hAnsi="Arial"/>
        </w:rPr>
        <w:t xml:space="preserve">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Законом Республики Татарстан от 30.10.2014 № 82-ЗРТ «Об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 исходя из кадастровой стоимости объектов налогообложения», Уставом муниципального образования «Ташкичуйское сельское поселение» Ютазинского муниципального района Республики Татарстан», </w:t>
      </w:r>
      <w:r>
        <w:rPr>
          <w:rFonts w:eastAsia="Calibri" w:cs="Arial" w:ascii="Arial" w:hAnsi="Arial"/>
        </w:rPr>
        <w:t xml:space="preserve">Совет </w:t>
      </w:r>
      <w:r>
        <w:rPr>
          <w:rFonts w:eastAsia="Calibri" w:cs="Arial" w:ascii="Arial" w:hAnsi="Arial"/>
          <w:color w:val="000000"/>
        </w:rPr>
        <w:t>муниципального образования «Ташкичуйское сельское поселение»</w:t>
      </w:r>
      <w:r>
        <w:rPr>
          <w:rFonts w:eastAsia="Calibri" w:cs="Arial" w:ascii="Arial" w:hAnsi="Arial"/>
        </w:rPr>
        <w:t xml:space="preserve"> Ютазинского муниципального района Республики Татарстан решил</w:t>
      </w:r>
      <w:r>
        <w:rPr>
          <w:rFonts w:cs="Arial" w:ascii="Arial" w:hAnsi="Arial"/>
        </w:rPr>
        <w:t>:</w:t>
      </w:r>
    </w:p>
    <w:p>
      <w:pPr>
        <w:pStyle w:val="Normal"/>
        <w:widowControl w:val="false"/>
        <w:tabs>
          <w:tab w:val="clear" w:pos="708"/>
          <w:tab w:val="left" w:pos="709" w:leader="none"/>
        </w:tabs>
        <w:ind w:firstLine="709"/>
        <w:jc w:val="both"/>
        <w:rPr>
          <w:rFonts w:ascii="Arial" w:hAnsi="Arial" w:cs="Arial"/>
        </w:rPr>
      </w:pPr>
      <w:r>
        <w:rPr>
          <w:rFonts w:cs="Arial" w:ascii="Arial" w:hAnsi="Arial"/>
        </w:rPr>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1. Внести в решение Совета Ташкичуйского сельского поселения Ютазинского муниципального района Республики Татарстан от 25.04.2024 № 8 «О налоге на имущество физических лиц» (далее - Решение) следующее изменение:</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1.1. Пункт 2 Решения изложить в следующей редакции:</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«2) Установить налоговые ставки в размере:</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1) 0,1 процента в отношении:</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 гаражей и машино-мест, в том числе расположенных в объектах налогообложения, включенных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 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2) 0,2 процента в отношении квартир, частей квартир, комнат;</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3) 0,3 процента в отношении:</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 жилых домов, частей жилых домов;</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 объектов незавершенного строительства в случае, если проектируемым назначением таких объектов является жилой дом;</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 единых недвижимых комплексов, в состав которых входит хотя бы один жилой дом;</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4) 0,5 процентов в отношении прочих объектов налогообложения;</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5) 1,2 процентов в отношении административно-деловых центров и торговых центров (комплексов) общей площадью свыше 1000 квадратных метров и помещений в них, включенных в перечень, определяемый органом исполнительной власти Республики Татарстан, уполномоченным в области имущественных отношений, в соответствии со статьей 378.2 Налогового кодекса Российской Федерации;</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6) 2,5 процентов в отношении объектов налогообложения, кадастровая стоимость каждого из которых превышает 300 миллионов рублей.».</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2. Признать утратившими силу решение Совета Ташкичуйского сельского поселения Ютазинского муниципального района Республики Татарстан от 11.09.2024 № 17 «О внесении изменений в решение Совета Ташкичуйского сельского поселения Ютазинского муниципального района Республики Татарстан от 25 апреля 2024 г. № 8 «О налоге на имущество физических лиц» и решение Совета Ташкичуйского сельского поселения Ютазинского муниципального района Республики Татарстан от 05 ноября 2024 года № 21 «О внесении изменений и дополнений в решение Совета Ташкичуйского сельского поселения Ютазинского муниципального района Республики Татарстан «О налоге на имущество физических лиц».</w:t>
      </w:r>
    </w:p>
    <w:p>
      <w:pPr>
        <w:pStyle w:val="Normal"/>
        <w:widowControl w:val="false"/>
        <w:tabs>
          <w:tab w:val="clear" w:pos="708"/>
          <w:tab w:val="left" w:pos="709" w:leader="none"/>
          <w:tab w:val="left" w:pos="1134" w:leader="none"/>
        </w:tabs>
        <w:jc w:val="both"/>
        <w:rPr>
          <w:rFonts w:ascii="Arial" w:hAnsi="Arial" w:eastAsia="Calibri" w:cs="Arial"/>
        </w:rPr>
      </w:pPr>
      <w:r>
        <w:rPr>
          <w:rFonts w:cs="Arial" w:ascii="Arial" w:hAnsi="Arial"/>
        </w:rPr>
        <w:t xml:space="preserve">   </w:t>
      </w:r>
      <w:r>
        <w:rPr>
          <w:rFonts w:cs="Arial" w:ascii="Arial" w:hAnsi="Arial"/>
        </w:rPr>
        <w:t xml:space="preserve">3. </w:t>
      </w:r>
      <w:r>
        <w:rPr>
          <w:rFonts w:eastAsia="Calibri" w:cs="Arial" w:ascii="Arial" w:hAnsi="Arial"/>
        </w:rPr>
        <w:t>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widowControl w:val="false"/>
        <w:tabs>
          <w:tab w:val="clear" w:pos="708"/>
          <w:tab w:val="left" w:pos="709" w:leader="none"/>
          <w:tab w:val="left" w:pos="1134" w:leader="none"/>
        </w:tabs>
        <w:jc w:val="both"/>
        <w:rPr>
          <w:rFonts w:ascii="Arial" w:hAnsi="Arial" w:eastAsia="Calibri" w:cs="Arial"/>
        </w:rPr>
      </w:pPr>
      <w:r>
        <w:rPr>
          <w:rFonts w:eastAsia="Calibri" w:cs="Arial" w:ascii="Arial" w:hAnsi="Arial"/>
        </w:rPr>
        <w:t xml:space="preserve">   </w:t>
      </w:r>
      <w:r>
        <w:rPr>
          <w:rFonts w:eastAsia="Calibri" w:cs="Arial" w:ascii="Arial" w:hAnsi="Arial"/>
        </w:rPr>
        <w:t>4. Настоящее решение вступает в силу со дня его официального опубликования и распространяется на правоотношения, возникшие с 1 января 2025 года.</w:t>
      </w:r>
    </w:p>
    <w:p>
      <w:pPr>
        <w:pStyle w:val="Normal"/>
        <w:widowControl w:val="false"/>
        <w:tabs>
          <w:tab w:val="clear" w:pos="708"/>
          <w:tab w:val="left" w:pos="709" w:leader="none"/>
          <w:tab w:val="left" w:pos="1134" w:leader="none"/>
        </w:tabs>
        <w:jc w:val="both"/>
        <w:rPr>
          <w:rFonts w:ascii="Arial" w:hAnsi="Arial" w:cs="Arial"/>
        </w:rPr>
      </w:pPr>
      <w:r>
        <w:rPr>
          <w:rFonts w:eastAsia="Calibri" w:cs="Arial" w:ascii="Arial" w:hAnsi="Arial"/>
        </w:rPr>
        <w:t xml:space="preserve">        </w:t>
      </w:r>
      <w:r>
        <w:rPr>
          <w:rFonts w:eastAsia="Calibri" w:cs="Arial" w:ascii="Arial" w:hAnsi="Arial"/>
        </w:rPr>
        <w:t>5. Контроль за исполнением настоящего решения оставляю за собой.</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r>
    </w:p>
    <w:p>
      <w:pPr>
        <w:pStyle w:val="Normal"/>
        <w:widowControl w:val="false"/>
        <w:tabs>
          <w:tab w:val="clear" w:pos="708"/>
          <w:tab w:val="left" w:pos="709" w:leader="none"/>
          <w:tab w:val="left" w:pos="1134" w:leader="none"/>
        </w:tabs>
        <w:jc w:val="both"/>
        <w:rPr>
          <w:rFonts w:ascii="Arial" w:hAnsi="Arial" w:cs="Arial"/>
        </w:rPr>
      </w:pPr>
      <w:r>
        <w:rPr>
          <w:rFonts w:eastAsia="Calibri" w:cs="Arial" w:ascii="Arial" w:hAnsi="Arial"/>
        </w:rPr>
        <w:t xml:space="preserve">        </w:t>
      </w:r>
      <w:r>
        <w:rPr>
          <w:rFonts w:eastAsia="Calibri" w:cs="Arial" w:ascii="Arial" w:hAnsi="Arial"/>
        </w:rPr>
        <w:t xml:space="preserve">Глава </w:t>
      </w:r>
    </w:p>
    <w:p>
      <w:pPr>
        <w:pStyle w:val="Normal"/>
        <w:widowControl w:val="false"/>
        <w:tabs>
          <w:tab w:val="clear" w:pos="708"/>
          <w:tab w:val="left" w:pos="709" w:leader="none"/>
          <w:tab w:val="left" w:pos="1134" w:leader="none"/>
        </w:tabs>
        <w:jc w:val="both"/>
        <w:rPr>
          <w:rFonts w:ascii="Arial" w:hAnsi="Arial" w:cs="Arial"/>
        </w:rPr>
      </w:pPr>
      <w:r>
        <w:rPr>
          <w:rFonts w:eastAsia="Calibri" w:cs="Arial" w:ascii="Arial" w:hAnsi="Arial"/>
        </w:rPr>
        <w:t>Ташк</w:t>
      </w:r>
      <w:bookmarkStart w:id="0" w:name="_GoBack"/>
      <w:bookmarkEnd w:id="0"/>
      <w:r>
        <w:rPr>
          <w:rFonts w:eastAsia="Calibri" w:cs="Arial" w:ascii="Arial" w:hAnsi="Arial"/>
        </w:rPr>
        <w:t>ичуйского сельского поселения                      Н.С.Рафиков</w:t>
      </w:r>
    </w:p>
    <w:sectPr>
      <w:type w:val="nextPage"/>
      <w:pgSz w:w="11906" w:h="16838"/>
      <w:pgMar w:left="1418" w:right="738" w:gutter="0" w:header="0" w:top="813" w:footer="0" w:bottom="7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erif">
    <w:altName w:val="Times New Roman"/>
    <w:charset w:val="01"/>
    <w:family w:val="roman"/>
    <w:pitch w:val="default"/>
  </w:font>
  <w:font w:name="Segoe UI">
    <w:charset w:val="01"/>
    <w:family w:val="swiss"/>
    <w:pitch w:val="default"/>
  </w:font>
  <w:font w:name="PT Astra Serif">
    <w:charset w:val="01"/>
    <w:family w:val="roman"/>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8"/>
  <w:displayBackgroundShape/>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Heading1">
    <w:name w:val="heading 1"/>
    <w:basedOn w:val="Style14"/>
    <w:next w:val="BodyText"/>
    <w:qFormat/>
    <w:pPr>
      <w:numPr>
        <w:ilvl w:val="0"/>
        <w:numId w:val="1"/>
      </w:numPr>
      <w:outlineLvl w:val="0"/>
    </w:pPr>
    <w:rPr>
      <w:rFonts w:ascii="Liberation Serif" w:hAnsi="Liberation Serif"/>
      <w:b/>
      <w:bCs/>
      <w:sz w:val="48"/>
      <w:szCs w:val="48"/>
    </w:rPr>
  </w:style>
  <w:style w:type="character" w:styleId="DefaultParagraphFont" w:default="1">
    <w:name w:val="Default Paragraph Font"/>
    <w:uiPriority w:val="1"/>
    <w:semiHidden/>
    <w:unhideWhenUsed/>
    <w:qFormat/>
    <w:rPr/>
  </w:style>
  <w:style w:type="character" w:styleId="3" w:customStyle="1">
    <w:name w:val="Основной шрифт абзаца3"/>
    <w:qFormat/>
    <w:rPr/>
  </w:style>
  <w:style w:type="character" w:styleId="2" w:customStyle="1">
    <w:name w:val="Основной шрифт абзаца2"/>
    <w:qFormat/>
    <w:rPr/>
  </w:style>
  <w:style w:type="character" w:styleId="WW8Num1z0" w:customStyle="1">
    <w:name w:val="WW8Num1z0"/>
    <w:qFormat/>
    <w:rPr/>
  </w:style>
  <w:style w:type="character" w:styleId="WW8Num2z0" w:customStyle="1">
    <w:name w:val="WW8Num2z0"/>
    <w:qFormat/>
    <w:rPr/>
  </w:style>
  <w:style w:type="character" w:styleId="1" w:customStyle="1">
    <w:name w:val="Основной шрифт абзаца1"/>
    <w:qFormat/>
    <w:rPr/>
  </w:style>
  <w:style w:type="character" w:styleId="Hyperlink">
    <w:name w:val="Hyperlink"/>
    <w:rPr>
      <w:color w:val="0000FF"/>
      <w:u w:val="single"/>
    </w:rPr>
  </w:style>
  <w:style w:type="character" w:styleId="blk" w:customStyle="1">
    <w:name w:val="blk"/>
    <w:basedOn w:val="1"/>
    <w:qFormat/>
    <w:rPr/>
  </w:style>
  <w:style w:type="character" w:styleId="Style13" w:customStyle="1">
    <w:name w:val="Текст выноски Знак"/>
    <w:qFormat/>
    <w:rPr>
      <w:rFonts w:ascii="Segoe UI" w:hAnsi="Segoe UI" w:eastAsia="Times New Roman" w:cs="Segoe UI"/>
      <w:sz w:val="18"/>
      <w:szCs w:val="18"/>
    </w:rPr>
  </w:style>
  <w:style w:type="paragraph" w:styleId="Style14" w:customStyle="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15">
    <w:name w:val="Указатель"/>
    <w:basedOn w:val="Normal"/>
    <w:qFormat/>
    <w:pPr>
      <w:suppressLineNumbers/>
    </w:pPr>
    <w:rPr>
      <w:rFonts w:ascii="PT Astra Serif" w:hAnsi="PT Astra Serif" w:cs="Noto Sans Devanagari"/>
    </w:rPr>
  </w:style>
  <w:style w:type="paragraph" w:styleId="31" w:customStyle="1">
    <w:name w:val="Указатель3"/>
    <w:basedOn w:val="Normal"/>
    <w:qFormat/>
    <w:pPr>
      <w:suppressLineNumbers/>
    </w:pPr>
    <w:rPr>
      <w:rFonts w:ascii="PT Astra Serif" w:hAnsi="PT Astra Serif" w:cs="Noto Sans Devanagari"/>
    </w:rPr>
  </w:style>
  <w:style w:type="paragraph" w:styleId="21" w:customStyle="1">
    <w:name w:val="Название объекта2"/>
    <w:basedOn w:val="Normal"/>
    <w:qFormat/>
    <w:pPr>
      <w:suppressLineNumbers/>
      <w:spacing w:before="120" w:after="120"/>
    </w:pPr>
    <w:rPr>
      <w:rFonts w:ascii="PT Astra Serif" w:hAnsi="PT Astra Serif" w:cs="Noto Sans Devanagari"/>
      <w:i/>
      <w:iCs/>
    </w:rPr>
  </w:style>
  <w:style w:type="paragraph" w:styleId="22" w:customStyle="1">
    <w:name w:val="Указатель2"/>
    <w:basedOn w:val="Normal"/>
    <w:qFormat/>
    <w:pPr>
      <w:suppressLineNumbers/>
    </w:pPr>
    <w:rPr>
      <w:rFonts w:ascii="PT Astra Serif" w:hAnsi="PT Astra Serif" w:cs="Noto Sans Devanagari"/>
    </w:rPr>
  </w:style>
  <w:style w:type="paragraph" w:styleId="11"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12" w:customStyle="1">
    <w:name w:val="Название объекта1"/>
    <w:basedOn w:val="Normal"/>
    <w:qFormat/>
    <w:pPr>
      <w:suppressLineNumbers/>
      <w:spacing w:before="120" w:after="120"/>
    </w:pPr>
    <w:rPr>
      <w:rFonts w:ascii="PT Astra Serif" w:hAnsi="PT Astra Serif" w:cs="Noto Sans Devanagari"/>
      <w:i/>
      <w:iCs/>
    </w:rPr>
  </w:style>
  <w:style w:type="paragraph" w:styleId="13" w:customStyle="1">
    <w:name w:val="Указатель1"/>
    <w:basedOn w:val="Normal"/>
    <w:qFormat/>
    <w:pPr>
      <w:suppressLineNumbers/>
    </w:pPr>
    <w:rPr>
      <w:rFonts w:ascii="PT Astra Serif" w:hAnsi="PT Astra Serif" w:cs="Noto Sans Devanagari"/>
    </w:rPr>
  </w:style>
  <w:style w:type="paragraph" w:styleId="ConsPlusNormal" w:customStyle="1">
    <w:name w:val="ConsPlusNormal"/>
    <w:qFormat/>
    <w:pPr>
      <w:widowControl w:val="false"/>
      <w:suppressAutoHyphens w:val="true"/>
      <w:bidi w:val="0"/>
      <w:spacing w:before="0" w:after="0"/>
      <w:ind w:firstLine="720"/>
      <w:jc w:val="left"/>
    </w:pPr>
    <w:rPr>
      <w:rFonts w:ascii="Arial" w:hAnsi="Arial" w:cs="Arial" w:eastAsia="Times New Roman"/>
      <w:color w:val="auto"/>
      <w:kern w:val="0"/>
      <w:sz w:val="20"/>
      <w:szCs w:val="20"/>
      <w:lang w:eastAsia="zh-CN" w:val="ru-RU" w:bidi="ar-SA"/>
    </w:rPr>
  </w:style>
  <w:style w:type="paragraph" w:styleId="BodyTextIndent">
    <w:name w:val="Body Text Indent"/>
    <w:basedOn w:val="Normal"/>
    <w:pPr>
      <w:ind w:firstLine="709"/>
      <w:jc w:val="both"/>
    </w:pPr>
    <w:rPr>
      <w:sz w:val="28"/>
    </w:rPr>
  </w:style>
  <w:style w:type="paragraph" w:styleId="BalloonText">
    <w:name w:val="Balloon Text"/>
    <w:basedOn w:val="Normal"/>
    <w:qFormat/>
    <w:pPr/>
    <w:rPr>
      <w:rFonts w:ascii="Segoe UI" w:hAnsi="Segoe UI" w:cs="Segoe UI"/>
      <w:sz w:val="18"/>
      <w:szCs w:val="18"/>
    </w:rPr>
  </w:style>
  <w:style w:type="numbering" w:styleId="Style16" w:default="1">
    <w:name w:val="Без списка"/>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0A8B1F5D15685840B33619CDD6454E404DECCD3FB0F74AA19D2D5DB6BD0cFF"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LibreOffice/24.8.4.2$Linux_X86_64 LibreOffice_project/480$Build-2</Application>
  <AppVersion>15.0000</AppVersion>
  <Pages>2</Pages>
  <Words>581</Words>
  <Characters>4156</Characters>
  <CharactersWithSpaces>4920</CharactersWithSpaces>
  <Paragraphs>32</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2025-10-21T11:40:00Z</dcterms:created>
  <dc:creator>Admin</dc:creator>
  <dc:description/>
  <dc:language>ru-RU</dc:language>
  <cp:lastModifiedBy/>
  <cp:lastPrinted>1601-01-01T00:00:00Z</cp:lastPrinted>
  <dcterms:modified xsi:type="dcterms:W3CDTF">2025-10-29T15:55:18Z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