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0384F" w:rsidRDefault="00773E55">
      <w:pPr>
        <w:jc w:val="right"/>
        <w:rPr>
          <w:rFonts w:ascii="Tinos" w:hAnsi="Tinos"/>
          <w:b/>
          <w:bCs/>
          <w:sz w:val="28"/>
          <w:szCs w:val="28"/>
        </w:rPr>
      </w:pPr>
      <w:r>
        <w:rPr>
          <w:rFonts w:ascii="Tinos" w:hAnsi="Tinos" w:cs="Arial"/>
          <w:b/>
          <w:bCs/>
          <w:sz w:val="28"/>
          <w:szCs w:val="28"/>
        </w:rPr>
        <w:t>ПРОЕКТ</w:t>
      </w:r>
    </w:p>
    <w:p w:rsidR="0030384F" w:rsidRDefault="0030384F">
      <w:pPr>
        <w:jc w:val="center"/>
        <w:rPr>
          <w:rFonts w:ascii="Tinos" w:hAnsi="Tinos" w:cs="Arial"/>
          <w:sz w:val="28"/>
          <w:szCs w:val="28"/>
        </w:rPr>
      </w:pPr>
    </w:p>
    <w:p w:rsidR="00773E55" w:rsidRPr="005C0574" w:rsidRDefault="00773E55" w:rsidP="00773E55">
      <w:pPr>
        <w:suppressAutoHyphens w:val="0"/>
        <w:jc w:val="center"/>
        <w:rPr>
          <w:rFonts w:ascii="Arial" w:eastAsia="Calibri" w:hAnsi="Arial" w:cs="Arial"/>
          <w:b/>
          <w:color w:val="000000" w:themeColor="text1"/>
          <w:lang w:eastAsia="ru-RU"/>
        </w:rPr>
      </w:pPr>
      <w:r w:rsidRPr="005C0574">
        <w:rPr>
          <w:rFonts w:ascii="Arial" w:eastAsia="Calibri" w:hAnsi="Arial" w:cs="Arial"/>
          <w:b/>
          <w:color w:val="000000" w:themeColor="text1"/>
          <w:lang w:eastAsia="ru-RU"/>
        </w:rPr>
        <w:t>Совет Ютазинского сельского поселения Ютазинского</w:t>
      </w:r>
    </w:p>
    <w:p w:rsidR="00773E55" w:rsidRPr="005C0574" w:rsidRDefault="00773E55" w:rsidP="00773E55">
      <w:pPr>
        <w:suppressAutoHyphens w:val="0"/>
        <w:jc w:val="center"/>
        <w:rPr>
          <w:rFonts w:ascii="Arial" w:eastAsia="Calibri" w:hAnsi="Arial" w:cs="Arial"/>
          <w:b/>
          <w:color w:val="000000" w:themeColor="text1"/>
          <w:lang w:eastAsia="ru-RU"/>
        </w:rPr>
      </w:pPr>
      <w:bookmarkStart w:id="0" w:name="_GoBack"/>
      <w:r w:rsidRPr="005C0574">
        <w:rPr>
          <w:rFonts w:ascii="Arial" w:eastAsia="Calibri" w:hAnsi="Arial" w:cs="Arial"/>
          <w:b/>
          <w:color w:val="000000" w:themeColor="text1"/>
          <w:lang w:eastAsia="ru-RU"/>
        </w:rPr>
        <w:t>муниципального района Республики Татарстан</w:t>
      </w:r>
    </w:p>
    <w:bookmarkEnd w:id="0"/>
    <w:p w:rsidR="00773E55" w:rsidRPr="00773E55" w:rsidRDefault="00773E55" w:rsidP="00773E55">
      <w:pPr>
        <w:suppressAutoHyphens w:val="0"/>
        <w:jc w:val="center"/>
        <w:rPr>
          <w:rFonts w:ascii="Arial" w:eastAsia="Calibri" w:hAnsi="Arial" w:cs="Arial"/>
          <w:b/>
          <w:lang w:eastAsia="ru-RU"/>
        </w:rPr>
      </w:pPr>
    </w:p>
    <w:p w:rsidR="00773E55" w:rsidRPr="00773E55" w:rsidRDefault="00773E55" w:rsidP="00773E55">
      <w:pPr>
        <w:suppressAutoHyphens w:val="0"/>
        <w:rPr>
          <w:rFonts w:ascii="Arial" w:eastAsia="Calibri" w:hAnsi="Arial" w:cs="Arial"/>
          <w:b/>
          <w:lang w:eastAsia="ru-RU"/>
        </w:rPr>
      </w:pPr>
    </w:p>
    <w:p w:rsidR="00773E55" w:rsidRPr="00773E55" w:rsidRDefault="00773E55" w:rsidP="00773E55">
      <w:pPr>
        <w:suppressAutoHyphens w:val="0"/>
        <w:jc w:val="center"/>
        <w:rPr>
          <w:rFonts w:ascii="Arial" w:eastAsia="Calibri" w:hAnsi="Arial" w:cs="Arial"/>
          <w:b/>
          <w:lang w:eastAsia="ru-RU"/>
        </w:rPr>
      </w:pPr>
      <w:r w:rsidRPr="00773E55">
        <w:rPr>
          <w:rFonts w:ascii="Arial" w:eastAsia="Calibri" w:hAnsi="Arial" w:cs="Arial"/>
          <w:b/>
          <w:lang w:eastAsia="ru-RU"/>
        </w:rPr>
        <w:t>РЕШЕНИЕ №</w:t>
      </w:r>
      <w:r>
        <w:rPr>
          <w:rFonts w:ascii="Arial" w:eastAsia="Calibri" w:hAnsi="Arial" w:cs="Arial"/>
          <w:b/>
          <w:lang w:eastAsia="ru-RU"/>
        </w:rPr>
        <w:t>__</w:t>
      </w:r>
    </w:p>
    <w:p w:rsidR="00773E55" w:rsidRPr="00773E55" w:rsidRDefault="00773E55" w:rsidP="00773E55">
      <w:pPr>
        <w:suppressAutoHyphens w:val="0"/>
        <w:jc w:val="center"/>
        <w:rPr>
          <w:rFonts w:ascii="Arial" w:eastAsia="Calibri" w:hAnsi="Arial" w:cs="Arial"/>
          <w:b/>
          <w:lang w:eastAsia="ru-RU"/>
        </w:rPr>
      </w:pPr>
    </w:p>
    <w:p w:rsidR="0030384F" w:rsidRDefault="00773E55" w:rsidP="00773E55">
      <w:pPr>
        <w:jc w:val="center"/>
        <w:rPr>
          <w:rFonts w:ascii="Tinos" w:hAnsi="Tinos" w:cs="Arial"/>
          <w:sz w:val="28"/>
          <w:szCs w:val="28"/>
        </w:rPr>
      </w:pPr>
      <w:proofErr w:type="spellStart"/>
      <w:r w:rsidRPr="00773E55">
        <w:rPr>
          <w:rFonts w:ascii="Arial" w:eastAsia="Calibri" w:hAnsi="Arial" w:cs="Arial"/>
          <w:lang w:eastAsia="ru-RU"/>
        </w:rPr>
        <w:t>с.Ютаза</w:t>
      </w:r>
      <w:proofErr w:type="spellEnd"/>
      <w:r w:rsidRPr="00773E55">
        <w:rPr>
          <w:rFonts w:ascii="Arial" w:eastAsia="Calibri" w:hAnsi="Arial" w:cs="Arial"/>
          <w:lang w:eastAsia="ru-RU"/>
        </w:rPr>
        <w:t xml:space="preserve">                                                                     </w:t>
      </w:r>
      <w:r>
        <w:rPr>
          <w:rFonts w:ascii="Arial" w:eastAsia="Calibri" w:hAnsi="Arial" w:cs="Arial"/>
          <w:lang w:eastAsia="ru-RU"/>
        </w:rPr>
        <w:t xml:space="preserve">                       __ ______</w:t>
      </w:r>
      <w:r w:rsidRPr="00773E55">
        <w:rPr>
          <w:rFonts w:ascii="Arial" w:eastAsia="Calibri" w:hAnsi="Arial" w:cs="Arial"/>
          <w:lang w:eastAsia="ru-RU"/>
        </w:rPr>
        <w:t xml:space="preserve"> 2025 г</w:t>
      </w:r>
    </w:p>
    <w:p w:rsidR="0030384F" w:rsidRDefault="0030384F">
      <w:pPr>
        <w:jc w:val="center"/>
        <w:rPr>
          <w:rFonts w:ascii="Tinos" w:hAnsi="Tinos" w:cs="Arial"/>
          <w:sz w:val="28"/>
          <w:szCs w:val="28"/>
        </w:rPr>
      </w:pPr>
    </w:p>
    <w:p w:rsidR="0030384F" w:rsidRDefault="0030384F">
      <w:pPr>
        <w:jc w:val="center"/>
        <w:rPr>
          <w:rFonts w:ascii="Tinos" w:hAnsi="Tinos" w:cs="Arial"/>
          <w:sz w:val="28"/>
          <w:szCs w:val="28"/>
        </w:rPr>
      </w:pPr>
    </w:p>
    <w:p w:rsidR="0030384F" w:rsidRDefault="0030384F" w:rsidP="00773E55">
      <w:pPr>
        <w:rPr>
          <w:rFonts w:ascii="Tinos" w:hAnsi="Tinos" w:cs="Arial"/>
          <w:sz w:val="28"/>
          <w:szCs w:val="28"/>
        </w:rPr>
      </w:pPr>
    </w:p>
    <w:p w:rsidR="0030384F" w:rsidRDefault="00773E55">
      <w:pPr>
        <w:widowControl w:val="0"/>
        <w:jc w:val="center"/>
        <w:rPr>
          <w:rFonts w:ascii="Tinos" w:hAnsi="Tinos"/>
          <w:sz w:val="28"/>
          <w:szCs w:val="28"/>
        </w:rPr>
      </w:pPr>
      <w:r>
        <w:rPr>
          <w:rFonts w:ascii="Tinos" w:hAnsi="Tinos" w:cs="Arial"/>
          <w:sz w:val="28"/>
          <w:szCs w:val="28"/>
        </w:rPr>
        <w:t>О внесении изменения в решение Совета Ютазинского сельского поселения</w:t>
      </w:r>
    </w:p>
    <w:p w:rsidR="0030384F" w:rsidRDefault="00773E55">
      <w:pPr>
        <w:widowControl w:val="0"/>
        <w:jc w:val="center"/>
        <w:rPr>
          <w:rFonts w:ascii="Tinos" w:hAnsi="Tinos"/>
          <w:sz w:val="28"/>
          <w:szCs w:val="28"/>
        </w:rPr>
      </w:pPr>
      <w:r>
        <w:rPr>
          <w:rFonts w:ascii="Tinos" w:hAnsi="Tinos" w:cs="Arial"/>
          <w:sz w:val="28"/>
          <w:szCs w:val="28"/>
        </w:rPr>
        <w:t>Ютазинского муниципального района Республики Татарстан</w:t>
      </w:r>
    </w:p>
    <w:p w:rsidR="0030384F" w:rsidRDefault="00773E55">
      <w:pPr>
        <w:widowControl w:val="0"/>
        <w:jc w:val="center"/>
        <w:rPr>
          <w:rFonts w:ascii="Tinos" w:hAnsi="Tinos"/>
          <w:sz w:val="28"/>
          <w:szCs w:val="28"/>
        </w:rPr>
      </w:pPr>
      <w:r>
        <w:rPr>
          <w:rFonts w:ascii="Tinos" w:hAnsi="Tinos" w:cs="Arial"/>
          <w:sz w:val="28"/>
          <w:szCs w:val="28"/>
        </w:rPr>
        <w:t>от 25.04.2024 г. № 6 «О налоге на имущество физических лиц»</w:t>
      </w:r>
    </w:p>
    <w:p w:rsidR="0030384F" w:rsidRDefault="0030384F">
      <w:pPr>
        <w:widowControl w:val="0"/>
        <w:jc w:val="center"/>
        <w:rPr>
          <w:rFonts w:ascii="Tinos" w:hAnsi="Tinos" w:cs="Arial"/>
          <w:b/>
          <w:bCs/>
          <w:sz w:val="28"/>
          <w:szCs w:val="28"/>
        </w:rPr>
      </w:pPr>
    </w:p>
    <w:p w:rsidR="0030384F" w:rsidRDefault="00773E55">
      <w:pPr>
        <w:widowControl w:val="0"/>
        <w:tabs>
          <w:tab w:val="left" w:pos="709"/>
          <w:tab w:val="left" w:pos="1134"/>
        </w:tabs>
        <w:jc w:val="both"/>
        <w:rPr>
          <w:rFonts w:ascii="Tinos" w:hAnsi="Tinos"/>
          <w:sz w:val="28"/>
          <w:szCs w:val="28"/>
        </w:rPr>
      </w:pPr>
      <w:r>
        <w:rPr>
          <w:rFonts w:ascii="Tinos" w:hAnsi="Tinos" w:cs="Arial"/>
          <w:bCs/>
          <w:sz w:val="28"/>
          <w:szCs w:val="28"/>
        </w:rPr>
        <w:t xml:space="preserve">       В соответствии с Налоговым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06.10.2003 №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Законом Республики Татарстан от 30.10.2014 № 82-ЗРТ «Об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 исходя из кадастровой стоимости объектов налогообложения», Уставом муниципального образования «Ютазинское сельское поселение» Ютазинского муниципального района Республики Татарстан», Совет Ютазинского сельского поселения Ютазинского муниципального района Республики Татарстан решил: </w:t>
      </w:r>
    </w:p>
    <w:p w:rsidR="0030384F" w:rsidRDefault="0030384F">
      <w:pPr>
        <w:widowControl w:val="0"/>
        <w:tabs>
          <w:tab w:val="left" w:pos="709"/>
          <w:tab w:val="left" w:pos="1134"/>
        </w:tabs>
        <w:jc w:val="both"/>
        <w:rPr>
          <w:rFonts w:ascii="Tinos" w:hAnsi="Tinos"/>
          <w:sz w:val="28"/>
          <w:szCs w:val="28"/>
        </w:rPr>
      </w:pPr>
    </w:p>
    <w:p w:rsidR="0030384F" w:rsidRDefault="00773E55">
      <w:pPr>
        <w:widowControl w:val="0"/>
        <w:tabs>
          <w:tab w:val="left" w:pos="709"/>
          <w:tab w:val="left" w:pos="1134"/>
        </w:tabs>
        <w:jc w:val="both"/>
        <w:rPr>
          <w:rFonts w:ascii="Tinos" w:hAnsi="Tinos"/>
          <w:sz w:val="28"/>
          <w:szCs w:val="28"/>
        </w:rPr>
      </w:pPr>
      <w:r>
        <w:rPr>
          <w:rFonts w:ascii="Tinos" w:hAnsi="Tinos" w:cs="Arial"/>
          <w:bCs/>
          <w:sz w:val="28"/>
          <w:szCs w:val="28"/>
        </w:rPr>
        <w:t xml:space="preserve">     1. Внести в решение Совета Ютазинского сельского поселения Ютазинского муниципального района Республики Татарстан от 25.04.2024 № 6 «О налоге на имущество физических лиц» (в редакции решения Совета Ютазинского сельского поселения Ютазинского муниципального района Республики Татарстан от 12.09.2024 № 14, от 11.11.2024 № 18, от 17.11.2025 № 9, № 11 от 01.12.2025) (далее - Решение) следующее изменение: </w:t>
      </w:r>
    </w:p>
    <w:p w:rsidR="0030384F" w:rsidRDefault="00773E55">
      <w:pPr>
        <w:widowControl w:val="0"/>
        <w:tabs>
          <w:tab w:val="left" w:pos="709"/>
          <w:tab w:val="left" w:pos="1134"/>
        </w:tabs>
        <w:jc w:val="both"/>
        <w:rPr>
          <w:rFonts w:ascii="Tinos" w:hAnsi="Tinos"/>
          <w:sz w:val="28"/>
          <w:szCs w:val="28"/>
        </w:rPr>
      </w:pPr>
      <w:r>
        <w:rPr>
          <w:rFonts w:ascii="Tinos" w:hAnsi="Tinos" w:cs="Arial"/>
          <w:bCs/>
          <w:sz w:val="28"/>
          <w:szCs w:val="28"/>
        </w:rPr>
        <w:t xml:space="preserve">     </w:t>
      </w:r>
      <w:r>
        <w:rPr>
          <w:rFonts w:ascii="Tinos" w:hAnsi="Tinos" w:cs="Arial"/>
          <w:bCs/>
          <w:sz w:val="28"/>
          <w:szCs w:val="28"/>
        </w:rPr>
        <w:tab/>
        <w:t>1.1. Подпункт 6 пункта 2 Решения изложить в следующей редакции:</w:t>
      </w:r>
    </w:p>
    <w:p w:rsidR="0030384F" w:rsidRDefault="00773E55">
      <w:pPr>
        <w:widowControl w:val="0"/>
        <w:tabs>
          <w:tab w:val="left" w:pos="709"/>
          <w:tab w:val="left" w:pos="1134"/>
        </w:tabs>
        <w:jc w:val="both"/>
      </w:pPr>
      <w:r>
        <w:rPr>
          <w:rFonts w:ascii="Tinos" w:hAnsi="Tinos" w:cs="Arial"/>
          <w:sz w:val="28"/>
          <w:szCs w:val="28"/>
        </w:rPr>
        <w:tab/>
      </w:r>
      <w:r>
        <w:rPr>
          <w:rFonts w:ascii="Tinos" w:hAnsi="Tinos" w:cs="Arial"/>
          <w:color w:val="000000"/>
          <w:sz w:val="28"/>
          <w:szCs w:val="28"/>
        </w:rPr>
        <w:t xml:space="preserve">«6) </w:t>
      </w:r>
      <w:r>
        <w:rPr>
          <w:rStyle w:val="a4"/>
          <w:rFonts w:ascii="Tinos" w:hAnsi="Tinos" w:cs="Arial"/>
          <w:color w:val="000000"/>
          <w:sz w:val="28"/>
          <w:szCs w:val="28"/>
          <w:u w:val="none"/>
        </w:rPr>
        <w:t>2,5 процента в отношении объектов налогообложения, кадастровая стоимость каждого из которых превышает 300 миллионов рублей</w:t>
      </w:r>
      <w:r>
        <w:rPr>
          <w:rFonts w:ascii="Tinos" w:hAnsi="Tinos" w:cs="Arial"/>
          <w:color w:val="000000"/>
          <w:sz w:val="28"/>
          <w:szCs w:val="28"/>
        </w:rPr>
        <w:t>, за исключением объектов незавершенного строительства, проектируемым назначением которых является многоквартирный дом.».</w:t>
      </w:r>
    </w:p>
    <w:p w:rsidR="0030384F" w:rsidRDefault="00773E55">
      <w:pPr>
        <w:widowControl w:val="0"/>
        <w:tabs>
          <w:tab w:val="left" w:pos="709"/>
          <w:tab w:val="left" w:pos="1134"/>
        </w:tabs>
        <w:jc w:val="both"/>
        <w:rPr>
          <w:rFonts w:ascii="Tinos" w:hAnsi="Tinos"/>
          <w:sz w:val="28"/>
          <w:szCs w:val="28"/>
        </w:rPr>
      </w:pPr>
      <w:r>
        <w:rPr>
          <w:rFonts w:ascii="Tinos" w:hAnsi="Tinos" w:cs="Arial"/>
          <w:sz w:val="28"/>
          <w:szCs w:val="28"/>
        </w:rPr>
        <w:t xml:space="preserve">   2. 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w:t>
      </w:r>
      <w:proofErr w:type="spellStart"/>
      <w:r>
        <w:rPr>
          <w:rFonts w:ascii="Tinos" w:hAnsi="Tinos" w:cs="Arial"/>
          <w:sz w:val="28"/>
          <w:szCs w:val="28"/>
        </w:rPr>
        <w:t>Роскомнадзор</w:t>
      </w:r>
      <w:proofErr w:type="spellEnd"/>
      <w:r>
        <w:rPr>
          <w:rFonts w:ascii="Tinos" w:hAnsi="Tinos" w:cs="Arial"/>
          <w:sz w:val="28"/>
          <w:szCs w:val="28"/>
        </w:rPr>
        <w:t xml:space="preserve">)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w:t>
      </w:r>
      <w:r>
        <w:rPr>
          <w:rFonts w:ascii="Tinos" w:hAnsi="Tinos" w:cs="Arial"/>
          <w:sz w:val="28"/>
          <w:szCs w:val="28"/>
        </w:rPr>
        <w:lastRenderedPageBreak/>
        <w:t xml:space="preserve">государственной власти и местного самоуправления «Официальный </w:t>
      </w:r>
      <w:proofErr w:type="spellStart"/>
      <w:r>
        <w:rPr>
          <w:rFonts w:ascii="Tinos" w:hAnsi="Tinos" w:cs="Arial"/>
          <w:sz w:val="28"/>
          <w:szCs w:val="28"/>
        </w:rPr>
        <w:t>Татарстан»в</w:t>
      </w:r>
      <w:proofErr w:type="spellEnd"/>
      <w:r>
        <w:rPr>
          <w:rFonts w:ascii="Tinos" w:hAnsi="Tinos" w:cs="Arial"/>
          <w:sz w:val="28"/>
          <w:szCs w:val="28"/>
        </w:rPr>
        <w:t xml:space="preserve"> информационно-телекоммуникационной сети «Интернет» по веб-адресу: http://jutaza.tatarstan.ru/.</w:t>
      </w:r>
    </w:p>
    <w:p w:rsidR="0030384F" w:rsidRDefault="00773E55">
      <w:pPr>
        <w:widowControl w:val="0"/>
        <w:tabs>
          <w:tab w:val="left" w:pos="709"/>
          <w:tab w:val="left" w:pos="1134"/>
        </w:tabs>
        <w:jc w:val="both"/>
        <w:rPr>
          <w:rFonts w:ascii="Tinos" w:hAnsi="Tinos"/>
          <w:sz w:val="28"/>
          <w:szCs w:val="28"/>
        </w:rPr>
      </w:pPr>
      <w:r>
        <w:rPr>
          <w:rFonts w:ascii="Tinos" w:hAnsi="Tinos" w:cs="Arial"/>
          <w:sz w:val="28"/>
          <w:szCs w:val="28"/>
        </w:rPr>
        <w:t xml:space="preserve">   </w:t>
      </w:r>
      <w:r>
        <w:rPr>
          <w:rFonts w:ascii="Tinos" w:hAnsi="Tinos" w:cs="Arial"/>
          <w:sz w:val="28"/>
          <w:szCs w:val="28"/>
        </w:rPr>
        <w:tab/>
        <w:t>3. Настоящее решение вступает в силу по истечении одного месяца со дня официального опубликования настоящего решения и распространяется на правоотношения, возникшие с 1 января 2026 года.</w:t>
      </w:r>
    </w:p>
    <w:p w:rsidR="0030384F" w:rsidRDefault="00773E55">
      <w:pPr>
        <w:widowControl w:val="0"/>
        <w:tabs>
          <w:tab w:val="left" w:pos="709"/>
          <w:tab w:val="left" w:pos="1134"/>
        </w:tabs>
        <w:jc w:val="both"/>
        <w:rPr>
          <w:rFonts w:ascii="Tinos" w:hAnsi="Tinos"/>
          <w:sz w:val="28"/>
          <w:szCs w:val="28"/>
        </w:rPr>
      </w:pPr>
      <w:r>
        <w:rPr>
          <w:rFonts w:ascii="Tinos" w:hAnsi="Tinos" w:cs="Arial"/>
          <w:sz w:val="28"/>
          <w:szCs w:val="28"/>
        </w:rPr>
        <w:tab/>
        <w:t>4. Контроль за исполнением настоящего решения оставляю за собой.</w:t>
      </w:r>
    </w:p>
    <w:p w:rsidR="0030384F" w:rsidRDefault="0030384F">
      <w:pPr>
        <w:widowControl w:val="0"/>
        <w:tabs>
          <w:tab w:val="left" w:pos="709"/>
          <w:tab w:val="left" w:pos="1134"/>
        </w:tabs>
        <w:jc w:val="both"/>
        <w:rPr>
          <w:rFonts w:ascii="Tinos" w:hAnsi="Tinos" w:cs="Arial"/>
          <w:sz w:val="28"/>
          <w:szCs w:val="28"/>
        </w:rPr>
      </w:pPr>
    </w:p>
    <w:p w:rsidR="0030384F" w:rsidRDefault="00773E55">
      <w:pPr>
        <w:widowControl w:val="0"/>
        <w:tabs>
          <w:tab w:val="left" w:pos="709"/>
          <w:tab w:val="left" w:pos="1134"/>
        </w:tabs>
        <w:jc w:val="both"/>
        <w:rPr>
          <w:rFonts w:ascii="Tinos" w:hAnsi="Tinos"/>
          <w:sz w:val="28"/>
          <w:szCs w:val="28"/>
        </w:rPr>
      </w:pPr>
      <w:r>
        <w:rPr>
          <w:rFonts w:ascii="Tinos" w:eastAsia="Tinos" w:hAnsi="Tinos" w:cs="Arial"/>
          <w:sz w:val="28"/>
          <w:szCs w:val="28"/>
        </w:rPr>
        <w:t xml:space="preserve">       Глава </w:t>
      </w:r>
      <w:proofErr w:type="spellStart"/>
      <w:r>
        <w:rPr>
          <w:rFonts w:ascii="Tinos" w:eastAsia="Tinos" w:hAnsi="Tinos" w:cs="Arial"/>
          <w:sz w:val="28"/>
          <w:szCs w:val="28"/>
        </w:rPr>
        <w:t>Ютазинкого</w:t>
      </w:r>
      <w:proofErr w:type="spellEnd"/>
      <w:r>
        <w:rPr>
          <w:rFonts w:ascii="Tinos" w:eastAsia="Tinos" w:hAnsi="Tinos" w:cs="Arial"/>
          <w:sz w:val="28"/>
          <w:szCs w:val="28"/>
        </w:rPr>
        <w:t xml:space="preserve"> сельского поселения </w:t>
      </w:r>
    </w:p>
    <w:p w:rsidR="0030384F" w:rsidRDefault="00773E55">
      <w:pPr>
        <w:widowControl w:val="0"/>
        <w:tabs>
          <w:tab w:val="left" w:pos="709"/>
          <w:tab w:val="left" w:pos="1134"/>
        </w:tabs>
        <w:jc w:val="both"/>
        <w:rPr>
          <w:rFonts w:ascii="Tinos" w:hAnsi="Tinos"/>
          <w:sz w:val="28"/>
          <w:szCs w:val="28"/>
        </w:rPr>
      </w:pPr>
      <w:r>
        <w:rPr>
          <w:rFonts w:ascii="Tinos" w:eastAsia="Tinos" w:hAnsi="Tinos" w:cs="Arial"/>
          <w:sz w:val="28"/>
          <w:szCs w:val="28"/>
        </w:rPr>
        <w:t xml:space="preserve">       Ютазинского района </w:t>
      </w:r>
    </w:p>
    <w:p w:rsidR="0030384F" w:rsidRDefault="00773E55">
      <w:pPr>
        <w:widowControl w:val="0"/>
        <w:tabs>
          <w:tab w:val="left" w:pos="709"/>
          <w:tab w:val="left" w:pos="1134"/>
        </w:tabs>
        <w:jc w:val="both"/>
        <w:rPr>
          <w:rFonts w:ascii="Tinos" w:hAnsi="Tinos"/>
          <w:sz w:val="28"/>
          <w:szCs w:val="28"/>
        </w:rPr>
      </w:pPr>
      <w:r>
        <w:rPr>
          <w:rFonts w:ascii="Tinos" w:eastAsia="Tinos" w:hAnsi="Tinos" w:cs="Arial"/>
          <w:sz w:val="28"/>
          <w:szCs w:val="28"/>
        </w:rPr>
        <w:t xml:space="preserve">       Республики Татарстан                                                          </w:t>
      </w:r>
      <w:proofErr w:type="spellStart"/>
      <w:r>
        <w:rPr>
          <w:rFonts w:ascii="Tinos" w:eastAsia="Tinos" w:hAnsi="Tinos" w:cs="Arial"/>
          <w:sz w:val="28"/>
          <w:szCs w:val="28"/>
        </w:rPr>
        <w:t>Л.М.Хайруллина</w:t>
      </w:r>
      <w:proofErr w:type="spellEnd"/>
      <w:r>
        <w:rPr>
          <w:rFonts w:ascii="Tinos" w:eastAsia="Tinos" w:hAnsi="Tinos" w:cs="Arial"/>
          <w:sz w:val="28"/>
          <w:szCs w:val="28"/>
        </w:rPr>
        <w:t xml:space="preserve">        </w:t>
      </w:r>
    </w:p>
    <w:sectPr w:rsidR="0030384F">
      <w:pgSz w:w="11906" w:h="16838"/>
      <w:pgMar w:top="675" w:right="738" w:bottom="398"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Tinos">
    <w:altName w:val="Times New Roman"/>
    <w:charset w:val="01"/>
    <w:family w:val="roman"/>
    <w:pitch w:val="default"/>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76A71"/>
    <w:multiLevelType w:val="multilevel"/>
    <w:tmpl w:val="6BF27F44"/>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3EA5796"/>
    <w:multiLevelType w:val="multilevel"/>
    <w:tmpl w:val="C68ECB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4F"/>
    <w:rsid w:val="0030384F"/>
    <w:rsid w:val="005C0574"/>
    <w:rsid w:val="00773E5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78ECC9-D714-4876-B381-858D1304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zh-CN"/>
    </w:rPr>
  </w:style>
  <w:style w:type="paragraph" w:styleId="1">
    <w:name w:val="heading 1"/>
    <w:basedOn w:val="2"/>
    <w:next w:val="a0"/>
    <w:qFormat/>
    <w:pPr>
      <w:numPr>
        <w:numId w:val="1"/>
      </w:numPr>
      <w:outlineLvl w:val="0"/>
    </w:pPr>
    <w:rPr>
      <w:rFonts w:ascii="Liberation Serif" w:hAnsi="Liberation Serif"/>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
    <w:name w:val="Основной шрифт абзаца3"/>
    <w:qFormat/>
  </w:style>
  <w:style w:type="character" w:customStyle="1" w:styleId="20">
    <w:name w:val="Основной шрифт абзаца2"/>
    <w:qFormat/>
  </w:style>
  <w:style w:type="character" w:customStyle="1" w:styleId="WW8Num1z0">
    <w:name w:val="WW8Num1z0"/>
    <w:qFormat/>
  </w:style>
  <w:style w:type="character" w:customStyle="1" w:styleId="WW8Num2z0">
    <w:name w:val="WW8Num2z0"/>
    <w:qFormat/>
  </w:style>
  <w:style w:type="character" w:customStyle="1" w:styleId="10">
    <w:name w:val="Основной шрифт абзаца1"/>
    <w:qFormat/>
  </w:style>
  <w:style w:type="character" w:styleId="a4">
    <w:name w:val="Hyperlink"/>
    <w:rPr>
      <w:color w:val="0000FF"/>
      <w:u w:val="single"/>
    </w:rPr>
  </w:style>
  <w:style w:type="character" w:customStyle="1" w:styleId="blk">
    <w:name w:val="blk"/>
    <w:basedOn w:val="10"/>
    <w:qFormat/>
  </w:style>
  <w:style w:type="character" w:customStyle="1" w:styleId="a5">
    <w:name w:val="Текст выноски Знак"/>
    <w:qFormat/>
    <w:rPr>
      <w:rFonts w:ascii="Segoe UI" w:eastAsia="Times New Roman" w:hAnsi="Segoe UI" w:cs="Segoe UI"/>
      <w:sz w:val="18"/>
      <w:szCs w:val="18"/>
    </w:rPr>
  </w:style>
  <w:style w:type="paragraph" w:styleId="a6">
    <w:name w:val="Title"/>
    <w:basedOn w:val="a"/>
    <w:next w:val="a0"/>
    <w:qFormat/>
    <w:pPr>
      <w:keepNext/>
      <w:spacing w:before="240" w:after="120"/>
    </w:pPr>
    <w:rPr>
      <w:rFonts w:ascii="PT Astra Serif" w:eastAsia="Tahoma" w:hAnsi="PT Astra Serif" w:cs="Noto Sans Devanagari"/>
      <w:sz w:val="28"/>
      <w:szCs w:val="28"/>
    </w:rPr>
  </w:style>
  <w:style w:type="paragraph" w:styleId="a0">
    <w:name w:val="Body Text"/>
    <w:basedOn w:val="a"/>
    <w:pPr>
      <w:spacing w:after="140" w:line="276" w:lineRule="auto"/>
    </w:pPr>
  </w:style>
  <w:style w:type="paragraph" w:styleId="a7">
    <w:name w:val="List"/>
    <w:basedOn w:val="a0"/>
    <w:rPr>
      <w:rFonts w:ascii="PT Astra Serif" w:hAnsi="PT Astra Serif" w:cs="Noto Sans Devanagari"/>
    </w:rPr>
  </w:style>
  <w:style w:type="paragraph" w:styleId="a8">
    <w:name w:val="caption"/>
    <w:basedOn w:val="a"/>
    <w:qFormat/>
    <w:pPr>
      <w:suppressLineNumbers/>
      <w:spacing w:before="120" w:after="120"/>
    </w:pPr>
    <w:rPr>
      <w:rFonts w:ascii="PT Astra Serif" w:hAnsi="PT Astra Serif" w:cs="Noto Sans Devanagari"/>
      <w:i/>
      <w:iCs/>
    </w:rPr>
  </w:style>
  <w:style w:type="paragraph" w:styleId="a9">
    <w:name w:val="index heading"/>
    <w:basedOn w:val="a"/>
    <w:qFormat/>
    <w:pPr>
      <w:suppressLineNumbers/>
    </w:pPr>
    <w:rPr>
      <w:rFonts w:ascii="PT Astra Serif" w:hAnsi="PT Astra Serif" w:cs="Noto Sans Devanagari"/>
    </w:rPr>
  </w:style>
  <w:style w:type="paragraph" w:customStyle="1" w:styleId="2">
    <w:name w:val="Заголовок2"/>
    <w:basedOn w:val="a"/>
    <w:next w:val="a0"/>
    <w:qFormat/>
    <w:pPr>
      <w:keepNext/>
      <w:spacing w:before="240" w:after="120"/>
    </w:pPr>
    <w:rPr>
      <w:rFonts w:ascii="PT Astra Serif" w:eastAsia="Tahoma" w:hAnsi="PT Astra Serif" w:cs="Noto Sans Devanagari"/>
      <w:sz w:val="28"/>
      <w:szCs w:val="28"/>
    </w:rPr>
  </w:style>
  <w:style w:type="paragraph" w:customStyle="1" w:styleId="30">
    <w:name w:val="Указатель3"/>
    <w:basedOn w:val="a"/>
    <w:qFormat/>
    <w:pPr>
      <w:suppressLineNumbers/>
    </w:pPr>
    <w:rPr>
      <w:rFonts w:ascii="PT Astra Serif" w:hAnsi="PT Astra Serif" w:cs="Noto Sans Devanagari"/>
    </w:rPr>
  </w:style>
  <w:style w:type="paragraph" w:customStyle="1" w:styleId="21">
    <w:name w:val="Название объекта2"/>
    <w:basedOn w:val="a"/>
    <w:qFormat/>
    <w:pPr>
      <w:suppressLineNumbers/>
      <w:spacing w:before="120" w:after="120"/>
    </w:pPr>
    <w:rPr>
      <w:rFonts w:ascii="PT Astra Serif" w:hAnsi="PT Astra Serif" w:cs="Noto Sans Devanagari"/>
      <w:i/>
      <w:iCs/>
    </w:rPr>
  </w:style>
  <w:style w:type="paragraph" w:customStyle="1" w:styleId="22">
    <w:name w:val="Указатель2"/>
    <w:basedOn w:val="a"/>
    <w:qFormat/>
    <w:pPr>
      <w:suppressLineNumbers/>
    </w:pPr>
    <w:rPr>
      <w:rFonts w:ascii="PT Astra Serif" w:hAnsi="PT Astra Serif" w:cs="Noto Sans Devanagari"/>
    </w:rPr>
  </w:style>
  <w:style w:type="paragraph" w:customStyle="1" w:styleId="11">
    <w:name w:val="Заголовок1"/>
    <w:basedOn w:val="a"/>
    <w:next w:val="a0"/>
    <w:qFormat/>
    <w:pPr>
      <w:keepNext/>
      <w:spacing w:before="240" w:after="120"/>
    </w:pPr>
    <w:rPr>
      <w:rFonts w:ascii="PT Astra Serif" w:eastAsia="Tahoma" w:hAnsi="PT Astra Serif" w:cs="Noto Sans Devanagari"/>
      <w:sz w:val="28"/>
      <w:szCs w:val="28"/>
    </w:rPr>
  </w:style>
  <w:style w:type="paragraph" w:customStyle="1" w:styleId="12">
    <w:name w:val="Название объекта1"/>
    <w:basedOn w:val="a"/>
    <w:qFormat/>
    <w:pPr>
      <w:suppressLineNumbers/>
      <w:spacing w:before="120" w:after="120"/>
    </w:pPr>
    <w:rPr>
      <w:rFonts w:ascii="PT Astra Serif" w:hAnsi="PT Astra Serif" w:cs="Noto Sans Devanagari"/>
      <w:i/>
      <w:iCs/>
    </w:rPr>
  </w:style>
  <w:style w:type="paragraph" w:customStyle="1" w:styleId="13">
    <w:name w:val="Указатель1"/>
    <w:basedOn w:val="a"/>
    <w:qFormat/>
    <w:pPr>
      <w:suppressLineNumbers/>
    </w:pPr>
    <w:rPr>
      <w:rFonts w:ascii="PT Astra Serif" w:hAnsi="PT Astra Serif" w:cs="Noto Sans Devanagari"/>
    </w:rPr>
  </w:style>
  <w:style w:type="paragraph" w:customStyle="1" w:styleId="ConsPlusNormal">
    <w:name w:val="ConsPlusNormal"/>
    <w:qFormat/>
    <w:pPr>
      <w:widowControl w:val="0"/>
      <w:ind w:firstLine="720"/>
    </w:pPr>
    <w:rPr>
      <w:rFonts w:ascii="Arial" w:hAnsi="Arial" w:cs="Arial"/>
      <w:lang w:val="ru-RU" w:eastAsia="zh-CN"/>
    </w:rPr>
  </w:style>
  <w:style w:type="paragraph" w:styleId="aa">
    <w:name w:val="Body Text Indent"/>
    <w:basedOn w:val="a"/>
    <w:pPr>
      <w:ind w:firstLine="709"/>
      <w:jc w:val="both"/>
    </w:pPr>
    <w:rPr>
      <w:sz w:val="28"/>
    </w:rPr>
  </w:style>
  <w:style w:type="paragraph" w:styleId="ab">
    <w:name w:val="Balloon Text"/>
    <w:basedOn w:val="a"/>
    <w:qFormat/>
    <w:rPr>
      <w:rFonts w:ascii="Segoe UI" w:hAnsi="Segoe UI" w:cs="Segoe UI"/>
      <w:sz w:val="18"/>
      <w:szCs w:val="18"/>
    </w:rPr>
  </w:style>
  <w:style w:type="paragraph" w:styleId="ac">
    <w:name w:val="List Paragraph"/>
    <w:basedOn w:val="a"/>
    <w:uiPriority w:val="34"/>
    <w:qFormat/>
    <w:rsid w:val="000D2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483</Words>
  <Characters>2757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User</cp:lastModifiedBy>
  <cp:revision>4</cp:revision>
  <cp:lastPrinted>2025-12-18T08:35:00Z</cp:lastPrinted>
  <dcterms:created xsi:type="dcterms:W3CDTF">2025-12-18T08:26:00Z</dcterms:created>
  <dcterms:modified xsi:type="dcterms:W3CDTF">2025-12-18T08:36:00Z</dcterms:modified>
  <dc:language>ru-RU</dc:language>
</cp:coreProperties>
</file>