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firstLine="529" w:left="-709"/>
        <w:jc w:val="right"/>
        <w:rPr/>
      </w:pPr>
      <w:r>
        <w:rPr/>
        <w:t xml:space="preserve">          </w:t>
      </w:r>
      <w:r>
        <w:rPr/>
        <w:t>Проект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СОВЕТ БАЙРЯКИ-ТАМАКСКОГО СЕЛЬСКОГО ПОСЕЛЕНИЯ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>ЮТАЗИНСКОГО МУНИЦИПАЛЬНОГО РАЙОНА РЕСПУБЛИКИ ТАТАРСТАН</w:t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itle"/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 Е  Ш  Е  Н  И  Е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с.Байряки-Тамак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Байряки-Тамакского сельского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района №27 от 12.12.2024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Байряки-Тамакского 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2025 год и на плановый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2026 и 2027 годов»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Статья 1.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1.Внести в решение Совета Байряки-Тамакского сельского поселения Ютазинского муниципального района №27 от 12.12.2024г. «О бюджете Байряки-Тамакского сельского поселения на 2025 год и на плановый период 2026 и 2027 годов» следующие изменения и дополнения: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1) в статье 1: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а) в подпункте 1 пункта 1 цифру «8094,0» заменить цифрой «8 641,7»</w:t>
      </w:r>
    </w:p>
    <w:p>
      <w:pPr>
        <w:pStyle w:val="Title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б) в подпункте 1 пункта 2 цифру «8363,6» заменить цифрой «8991,2»</w:t>
      </w:r>
    </w:p>
    <w:p>
      <w:pPr>
        <w:pStyle w:val="Title"/>
        <w:jc w:val="left"/>
        <w:rPr>
          <w:sz w:val="24"/>
        </w:rPr>
      </w:pPr>
      <w:r>
        <w:rPr>
          <w:sz w:val="24"/>
          <w:szCs w:val="24"/>
        </w:rPr>
        <w:t>в)</w:t>
      </w:r>
      <w:r>
        <w:rPr>
          <w:sz w:val="24"/>
        </w:rPr>
        <w:t xml:space="preserve"> в подпункте 1 пункта 3 цифру «269,6» заменить цифрой «349,5».</w:t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Приложение №1 изложить в следующей редакции: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>Источники финансирования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дефицита бюджета Байряки-Тамакского сельского поселения на 2025 год </w:t>
      </w:r>
    </w:p>
    <w:p>
      <w:pPr>
        <w:pStyle w:val="Title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84"/>
        <w:gridCol w:w="5671"/>
        <w:gridCol w:w="1276"/>
      </w:tblGrid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Код показателя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Сумма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-349,5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2"/>
              </w:numPr>
              <w:snapToGrid w:val="false"/>
              <w:jc w:val="right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  <w:t>-349,5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-8641,7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-8641,7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-8641,7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-8641,7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8991,2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8991,2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8991,2</w:t>
            </w:r>
          </w:p>
        </w:tc>
      </w:tr>
      <w:tr>
        <w:trPr/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8991,2</w:t>
            </w:r>
          </w:p>
        </w:tc>
      </w:tr>
    </w:tbl>
    <w:p>
      <w:pPr>
        <w:pStyle w:val="Normal"/>
        <w:rPr>
          <w:bCs/>
        </w:rPr>
      </w:pPr>
      <w:r>
        <w:rPr>
          <w:bCs/>
        </w:rPr>
        <w:t xml:space="preserve">    </w:t>
      </w:r>
    </w:p>
    <w:p>
      <w:pPr>
        <w:pStyle w:val="Normal"/>
        <w:rPr>
          <w:bCs/>
        </w:rPr>
      </w:pPr>
      <w:r>
        <w:rPr>
          <w:bCs/>
        </w:rPr>
        <w:t xml:space="preserve">    </w:t>
      </w:r>
      <w:r>
        <w:rPr>
          <w:bCs/>
        </w:rPr>
        <w:t>2) в статье 3 приложение № 2 изложить в следующей редакции: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Байряки-Тамакского сельского поселения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на 2025 год</w:t>
      </w:r>
    </w:p>
    <w:p>
      <w:pPr>
        <w:pStyle w:val="Normal"/>
        <w:rPr/>
      </w:pPr>
      <w:r>
        <w:rPr>
          <w:sz w:val="24"/>
        </w:rPr>
        <w:t>Код</w:t>
      </w:r>
    </w:p>
    <w:p>
      <w:pPr>
        <w:pStyle w:val="Normal"/>
        <w:rPr/>
      </w:pPr>
      <w:r>
        <w:rPr>
          <w:sz w:val="24"/>
        </w:rPr>
        <w:t>бюджетной классификации Российской Федерации</w:t>
      </w:r>
    </w:p>
    <w:p>
      <w:pPr>
        <w:pStyle w:val="Normal"/>
        <w:rPr/>
      </w:pPr>
      <w:r>
        <w:rPr>
          <w:sz w:val="24"/>
        </w:rPr>
        <w:t>Наименование</w:t>
      </w:r>
    </w:p>
    <w:p>
      <w:pPr>
        <w:pStyle w:val="Normal"/>
        <w:rPr/>
      </w:pPr>
      <w:r>
        <w:rPr>
          <w:sz w:val="24"/>
        </w:rPr>
        <w:t>доходов</w:t>
      </w:r>
    </w:p>
    <w:p>
      <w:pPr>
        <w:pStyle w:val="Normal"/>
        <w:rPr/>
      </w:pPr>
      <w:r>
        <w:rPr>
          <w:sz w:val="24"/>
        </w:rPr>
        <w:t>Сумма</w:t>
      </w:r>
    </w:p>
    <w:p>
      <w:pPr>
        <w:pStyle w:val="Normal"/>
        <w:rPr/>
      </w:pPr>
      <w:r>
        <w:rPr>
          <w:sz w:val="24"/>
        </w:rPr>
        <w:t>1</w:t>
      </w:r>
    </w:p>
    <w:p>
      <w:pPr>
        <w:pStyle w:val="Normal"/>
        <w:rPr/>
      </w:pPr>
      <w:r>
        <w:rPr>
          <w:sz w:val="24"/>
        </w:rPr>
        <w:t>2</w:t>
      </w:r>
    </w:p>
    <w:p>
      <w:pPr>
        <w:pStyle w:val="Normal"/>
        <w:rPr/>
      </w:pPr>
      <w:r>
        <w:rPr>
          <w:sz w:val="24"/>
        </w:rPr>
        <w:t>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НАЛОГОВЫЕ И НЕНАЛОГОВЫЕ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1837,3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1 01 00000 00 0000 000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прибыль, доходы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47,0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1 01 02000 01 0000 110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доходы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47,0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1 05 00000 00 0000 000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Налоги на совокупный доход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85,0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1 05 03000 01 0000 110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Единый сельскохозяйственный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85,0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1 06 00000 00 0000000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Налоги на имущество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1430,0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1 06 01000 00 0000 110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Налог на имущество физических лиц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230,0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1 06 06000 00 0000 110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Земельный  налог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1200,0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1 08 00000 00 0000 000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Государственная пошлина</w:t>
      </w:r>
    </w:p>
    <w:p>
      <w:pPr>
        <w:pStyle w:val="Normal"/>
        <w:rPr/>
      </w:pPr>
      <w:r>
        <w:rPr>
          <w:b/>
          <w:sz w:val="22"/>
          <w:szCs w:val="22"/>
          <w:lang w:val="ru-RU" w:eastAsia="ru-RU"/>
        </w:rPr>
        <w:t>0,3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1 08 04020 01 0000 110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0,3</w:t>
      </w:r>
    </w:p>
    <w:p>
      <w:pPr>
        <w:pStyle w:val="Titl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1 17 00000 00 0000 000</w:t>
      </w:r>
    </w:p>
    <w:p>
      <w:pPr>
        <w:pStyle w:val="Title"/>
        <w:ind w:hanging="180" w:left="180"/>
        <w:jc w:val="lef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Прочие неналоговые доходы</w:t>
      </w:r>
    </w:p>
    <w:p>
      <w:pPr>
        <w:pStyle w:val="Title"/>
        <w:ind w:right="25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275,0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1 17 14000 00 0000 000</w:t>
      </w:r>
    </w:p>
    <w:p>
      <w:pPr>
        <w:pStyle w:val="Normal"/>
        <w:jc w:val="both"/>
        <w:rPr/>
      </w:pPr>
      <w:r>
        <w:rPr/>
        <w:t>Средства самообложения граждан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275,0</w:t>
      </w:r>
    </w:p>
    <w:p>
      <w:pPr>
        <w:pStyle w:val="Title"/>
        <w:rPr>
          <w:iCs/>
          <w:sz w:val="22"/>
          <w:szCs w:val="22"/>
        </w:rPr>
      </w:pPr>
      <w:r>
        <w:rPr>
          <w:iCs/>
          <w:sz w:val="22"/>
          <w:szCs w:val="22"/>
        </w:rPr>
        <w:t>1 17 14030 10 0000 150</w:t>
      </w:r>
    </w:p>
    <w:p>
      <w:pPr>
        <w:pStyle w:val="Normal"/>
        <w:jc w:val="both"/>
        <w:rPr/>
      </w:pPr>
      <w:r>
        <w:rPr/>
        <w:t>Средства самообложения граждан, зачисляемые в бюджеты поселений</w:t>
      </w:r>
    </w:p>
    <w:p>
      <w:pPr>
        <w:pStyle w:val="Title"/>
        <w:ind w:right="252"/>
        <w:jc w:val="right"/>
        <w:rPr>
          <w:sz w:val="24"/>
          <w:szCs w:val="24"/>
        </w:rPr>
      </w:pPr>
      <w:r>
        <w:rPr>
          <w:sz w:val="24"/>
          <w:szCs w:val="24"/>
        </w:rPr>
        <w:t>275,0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2 00 00000 00 0000 000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6804,4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2 02 00000  00 0000 000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Безвозмездные поступления от других бюджетов бюджетной системы Российской Федерации</w:t>
      </w:r>
    </w:p>
    <w:p>
      <w:pPr>
        <w:pStyle w:val="Normal"/>
        <w:rPr/>
      </w:pPr>
      <w:r>
        <w:rPr>
          <w:b/>
          <w:bCs/>
          <w:sz w:val="22"/>
          <w:szCs w:val="22"/>
          <w:lang w:val="ru-RU" w:eastAsia="ru-RU"/>
        </w:rPr>
        <w:t>6804,4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Дотации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2 02 16001 00 0000 150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Дотации на выравнивание бюджетной обеспеченности из бюджетов муниципальных районов, городских округов с внутригородским делением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2 02 16001 10 0000 150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Дотации бюджетам сельских поселений на выравнивание бюджетной обеспеченности из бюджетов муниципальных районов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4609,4</w:t>
      </w:r>
    </w:p>
    <w:p>
      <w:pPr>
        <w:pStyle w:val="Normal"/>
        <w:rPr/>
      </w:pPr>
      <w:r>
        <w:rPr>
          <w:sz w:val="22"/>
          <w:szCs w:val="22"/>
        </w:rPr>
        <w:t>2 02 29999 10 0000 150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Прочие субсидии бюджетам сельских поселений</w:t>
      </w:r>
    </w:p>
    <w:p>
      <w:pPr>
        <w:pStyle w:val="Normal"/>
        <w:rPr/>
      </w:pPr>
      <w:r>
        <w:rPr>
          <w:sz w:val="22"/>
          <w:szCs w:val="22"/>
        </w:rPr>
        <w:t>66,1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2 02 30000 00 0000 150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Субвенции бюджетам бюджетной системы Российской Федерации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174,2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2 02 35118 00 0000 150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174,2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2 02 35118 10 0000 150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</w:p>
    <w:p>
      <w:pPr>
        <w:pStyle w:val="Normal"/>
        <w:rPr/>
      </w:pPr>
      <w:r>
        <w:rPr>
          <w:sz w:val="22"/>
          <w:szCs w:val="22"/>
          <w:lang w:val="ru-RU" w:eastAsia="ru-RU"/>
        </w:rPr>
        <w:t>174,2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2 02 49999 10 0000 150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Иные межбюджетные трансферты</w:t>
      </w:r>
    </w:p>
    <w:p>
      <w:pPr>
        <w:pStyle w:val="Normal"/>
        <w:ind w:right="33"/>
        <w:jc w:val="right"/>
        <w:rPr>
          <w:sz w:val="22"/>
          <w:szCs w:val="22"/>
        </w:rPr>
      </w:pPr>
      <w:r>
        <w:rPr>
          <w:sz w:val="22"/>
          <w:szCs w:val="22"/>
        </w:rPr>
        <w:t>1954,8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ВСЕГО ДОХОДОВ</w:t>
      </w:r>
    </w:p>
    <w:p>
      <w:pPr>
        <w:pStyle w:val="ConsNormal"/>
        <w:ind w:hanging="0" w:right="33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8 641,7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Ведомственная структура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расходов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поселения Ютазинского муниципального района на 2025год                    </w:t>
      </w:r>
      <w:r>
        <w:rPr>
          <w:bCs/>
        </w:rPr>
        <w:t>тыс.руб</w:t>
      </w:r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89"/>
        <w:gridCol w:w="851"/>
        <w:gridCol w:w="709"/>
        <w:gridCol w:w="849"/>
        <w:gridCol w:w="1418"/>
        <w:gridCol w:w="709"/>
        <w:gridCol w:w="1275"/>
      </w:tblGrid>
      <w:tr>
        <w:trPr>
          <w:trHeight w:val="42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7 484,5</w:t>
            </w:r>
          </w:p>
        </w:tc>
      </w:tr>
      <w:tr>
        <w:trPr>
          <w:trHeight w:val="304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1 490,4</w:t>
            </w:r>
          </w:p>
        </w:tc>
      </w:tr>
      <w:tr>
        <w:trPr>
          <w:trHeight w:val="13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1 329,9</w:t>
            </w:r>
          </w:p>
        </w:tc>
      </w:tr>
      <w:tr>
        <w:trPr>
          <w:trHeight w:val="328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1 329,9</w:t>
            </w:r>
          </w:p>
        </w:tc>
      </w:tr>
      <w:tr>
        <w:trPr>
          <w:trHeight w:val="2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1 329,9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1 329,9</w:t>
            </w:r>
          </w:p>
        </w:tc>
      </w:tr>
      <w:tr>
        <w:trPr>
          <w:trHeight w:val="15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418,8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>
        <w:trPr>
          <w:trHeight w:val="217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</w:t>
            </w:r>
          </w:p>
        </w:tc>
      </w:tr>
      <w:tr>
        <w:trPr>
          <w:trHeight w:val="236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150,2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</w:tc>
      </w:tr>
      <w:tr>
        <w:trPr>
          <w:trHeight w:val="90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112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15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222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253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112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416,5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1 484,1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1 484,1</w:t>
            </w:r>
          </w:p>
        </w:tc>
      </w:tr>
      <w:tr>
        <w:trPr>
          <w:trHeight w:val="112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234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1 418,1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1 418,1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284,4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284,4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886,7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885,7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3 872,4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3 872,4</w:t>
            </w:r>
          </w:p>
        </w:tc>
      </w:tr>
      <w:tr>
        <w:trPr>
          <w:trHeight w:val="157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3 107,3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3 107,3</w:t>
            </w:r>
          </w:p>
        </w:tc>
      </w:tr>
      <w:tr>
        <w:trPr>
          <w:trHeight w:val="179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746,9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746,9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746,2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18,2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9900105410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9900105410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</w:tr>
      <w:tr>
        <w:trPr>
          <w:trHeight w:val="90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Байряки-Тамакского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1 506,7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1 506,7</w:t>
            </w:r>
          </w:p>
        </w:tc>
      </w:tr>
      <w:tr>
        <w:trPr>
          <w:trHeight w:val="90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15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1 492,6</w:t>
            </w:r>
          </w:p>
        </w:tc>
      </w:tr>
      <w:tr>
        <w:trPr>
          <w:trHeight w:val="1350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14,1</w:t>
            </w:r>
          </w:p>
        </w:tc>
      </w:tr>
      <w:tr>
        <w:trPr>
          <w:trHeight w:val="450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14,1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14,1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14,1</w:t>
            </w:r>
          </w:p>
        </w:tc>
      </w:tr>
      <w:tr>
        <w:trPr>
          <w:trHeight w:val="157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>
        <w:trPr>
          <w:trHeight w:val="675" w:hRule="atLeast"/>
        </w:trPr>
        <w:tc>
          <w:tcPr>
            <w:tcW w:w="4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8 991,2</w:t>
            </w:r>
          </w:p>
        </w:tc>
      </w:tr>
    </w:tbl>
    <w:p>
      <w:pPr>
        <w:pStyle w:val="Normal"/>
        <w:ind w:firstLine="567" w:left="-567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Cs/>
        </w:rPr>
      </w:pPr>
      <w:r>
        <w:rPr>
          <w:bCs/>
        </w:rPr>
        <w:t>3)в статье 4 в подпункте 2 приложение 4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/>
      </w:pPr>
      <w:r>
        <w:rPr/>
        <w:t>тыс.руб.</w:t>
      </w:r>
    </w:p>
    <w:tbl>
      <w:tblPr>
        <w:tblW w:w="104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39"/>
        <w:gridCol w:w="972"/>
        <w:gridCol w:w="1402"/>
        <w:gridCol w:w="1548"/>
        <w:gridCol w:w="1056"/>
        <w:gridCol w:w="1633"/>
      </w:tblGrid>
      <w:tr>
        <w:trPr>
          <w:trHeight w:val="42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2 997,0</w:t>
            </w:r>
          </w:p>
        </w:tc>
      </w:tr>
      <w:tr>
        <w:trPr>
          <w:trHeight w:val="90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15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1 492,6</w:t>
            </w:r>
          </w:p>
        </w:tc>
      </w:tr>
      <w:tr>
        <w:trPr>
          <w:trHeight w:val="13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14,1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14,1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14,1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14,1</w:t>
            </w:r>
          </w:p>
        </w:tc>
      </w:tr>
      <w:tr>
        <w:trPr>
          <w:trHeight w:val="15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13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1 329,9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1 329,9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1 329,9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1 329,9</w:t>
            </w:r>
          </w:p>
        </w:tc>
      </w:tr>
      <w:tr>
        <w:trPr>
          <w:trHeight w:val="15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418,8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160,5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150,2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</w:tc>
      </w:tr>
      <w:tr>
        <w:trPr>
          <w:trHeight w:val="90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112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15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112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416,5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1 484,1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1 484,1</w:t>
            </w:r>
          </w:p>
        </w:tc>
      </w:tr>
      <w:tr>
        <w:trPr>
          <w:trHeight w:val="112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1 418,1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1 418,1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284,4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284,4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886,7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885,7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3 872,4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3 872,4</w:t>
            </w:r>
          </w:p>
        </w:tc>
      </w:tr>
      <w:tr>
        <w:trPr>
          <w:trHeight w:val="157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3 107,3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3 107,3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746,9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746,9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746,2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18,2</w:t>
            </w:r>
          </w:p>
        </w:tc>
      </w:tr>
      <w:tr>
        <w:trPr>
          <w:trHeight w:val="67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252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9900105410</w:t>
            </w:r>
          </w:p>
        </w:tc>
        <w:tc>
          <w:tcPr>
            <w:tcW w:w="10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9900105410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</w:tr>
      <w:tr>
        <w:trPr>
          <w:trHeight w:val="255" w:hRule="atLeast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8 991,2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rPr>
          <w:bCs/>
        </w:rPr>
      </w:pPr>
      <w:r>
        <w:rPr>
          <w:bCs/>
        </w:rPr>
        <w:t>4)в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</w:rPr>
      </w:pPr>
      <w:r>
        <w:rPr>
          <w:b/>
          <w:bCs/>
        </w:rPr>
        <w:t>Распределение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бюджетных ассигнований бюджета Байряки-Тамакского сельского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/>
      </w:pPr>
      <w:r>
        <w:rPr/>
        <w:t>тыс.руб.</w:t>
      </w:r>
    </w:p>
    <w:tbl>
      <w:tblPr>
        <w:tblW w:w="1045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50"/>
        <w:gridCol w:w="1590"/>
        <w:gridCol w:w="1029"/>
        <w:gridCol w:w="934"/>
        <w:gridCol w:w="1330"/>
        <w:gridCol w:w="1617"/>
      </w:tblGrid>
      <w:tr>
        <w:trPr>
          <w:trHeight w:val="42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112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1421663130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66,1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1421663130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5 752,7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5 752,7</w:t>
            </w:r>
          </w:p>
        </w:tc>
      </w:tr>
      <w:tr>
        <w:trPr>
          <w:trHeight w:val="264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1800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1 492,6</w:t>
            </w:r>
          </w:p>
        </w:tc>
      </w:tr>
      <w:tr>
        <w:trPr>
          <w:trHeight w:val="90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1 492,6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1 344,0</w:t>
            </w:r>
          </w:p>
        </w:tc>
      </w:tr>
      <w:tr>
        <w:trPr>
          <w:trHeight w:val="1800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914,1</w:t>
            </w:r>
          </w:p>
        </w:tc>
      </w:tr>
      <w:tr>
        <w:trPr>
          <w:trHeight w:val="112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>
        <w:trPr>
          <w:trHeight w:val="1350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428,8</w:t>
            </w:r>
          </w:p>
        </w:tc>
      </w:tr>
      <w:tr>
        <w:trPr>
          <w:trHeight w:val="112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>
        <w:trPr>
          <w:trHeight w:val="1350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418,8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1,1</w:t>
            </w:r>
          </w:p>
        </w:tc>
      </w:tr>
      <w:tr>
        <w:trPr>
          <w:trHeight w:val="13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0,7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746,2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746,2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746,2</w:t>
            </w:r>
          </w:p>
        </w:tc>
      </w:tr>
      <w:tr>
        <w:trPr>
          <w:trHeight w:val="112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174,2</w:t>
            </w:r>
          </w:p>
        </w:tc>
      </w:tr>
      <w:tr>
        <w:trPr>
          <w:trHeight w:val="1800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137,6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137,6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36,6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284,4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284,4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284,4</w:t>
            </w:r>
          </w:p>
        </w:tc>
      </w:tr>
      <w:tr>
        <w:trPr>
          <w:trHeight w:val="112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416,5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416,5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247,0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247,0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886,7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885,7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885,7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150,2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30,4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119,8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</w:tc>
      </w:tr>
      <w:tr>
        <w:trPr>
          <w:trHeight w:val="90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>
        <w:trPr>
          <w:trHeight w:val="157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</w:t>
            </w:r>
            <w:bookmarkStart w:id="2" w:name="_GoBack"/>
            <w:bookmarkEnd w:id="2"/>
            <w:r>
              <w:rPr>
                <w:b/>
                <w:bCs/>
                <w:sz w:val="22"/>
                <w:szCs w:val="22"/>
              </w:rPr>
              <w:t>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3 107,3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3 107,3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3 107,3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социальной политики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9900105410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450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9900105410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46,9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9900105410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18,2</w:t>
            </w:r>
          </w:p>
        </w:tc>
      </w:tr>
      <w:tr>
        <w:trPr>
          <w:trHeight w:val="675" w:hRule="atLeast"/>
        </w:trPr>
        <w:tc>
          <w:tcPr>
            <w:tcW w:w="3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18,2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</w:tr>
      <w:tr>
        <w:trPr>
          <w:trHeight w:val="255" w:hRule="atLeast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8 991,2</w:t>
            </w:r>
          </w:p>
        </w:tc>
      </w:tr>
    </w:tbl>
    <w:p>
      <w:pPr>
        <w:pStyle w:val="Normal"/>
        <w:jc w:val="right"/>
        <w:rPr>
          <w:lang w:val="en-US"/>
        </w:rPr>
      </w:pPr>
      <w:r>
        <w:rPr>
          <w:lang w:val="en-US"/>
        </w:rPr>
      </w:r>
    </w:p>
    <w:p>
      <w:pPr>
        <w:pStyle w:val="Normal"/>
        <w:jc w:val="right"/>
        <w:rPr/>
      </w:pPr>
      <w:r>
        <w:rPr/>
      </w:r>
    </w:p>
    <w:p>
      <w:pPr>
        <w:pStyle w:val="BodyTextIndent"/>
        <w:ind w:left="5040"/>
        <w:jc w:val="both"/>
        <w:rPr>
          <w:b/>
        </w:rPr>
      </w:pPr>
      <w:r>
        <w:rPr>
          <w:b/>
        </w:rPr>
      </w:r>
    </w:p>
    <w:p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Статья 2.</w:t>
      </w:r>
    </w:p>
    <w:p>
      <w:pPr>
        <w:pStyle w:val="Title"/>
        <w:jc w:val="left"/>
        <w:rPr/>
      </w:pPr>
      <w:r>
        <w:rPr>
          <w:sz w:val="24"/>
          <w:szCs w:val="24"/>
        </w:rPr>
        <w:t>Настоящее решение вступает в силу со дня его официального обнародования и распространяется на правоотношения, возникшие с1 января 2025 года.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Глава Байряки-Тамакского</w:t>
      </w:r>
    </w:p>
    <w:p>
      <w:pPr>
        <w:pStyle w:val="Normal"/>
        <w:rPr>
          <w:szCs w:val="28"/>
        </w:rPr>
      </w:pPr>
      <w:r>
        <w:rPr/>
        <w:t>сельского поселения                                                                                             З.М.Аглиева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851" w:right="70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2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2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8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894ccc"/>
    <w:pPr>
      <w:keepNext w:val="true"/>
      <w:numPr>
        <w:ilvl w:val="1"/>
        <w:numId w:val="1"/>
      </w:numPr>
      <w:suppressAutoHyphens w:val="true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3"/>
    <w:qFormat/>
    <w:rsid w:val="00f9436d"/>
    <w:pPr>
      <w:keepNext w:val="true"/>
      <w:jc w:val="both"/>
      <w:outlineLvl w:val="2"/>
    </w:pPr>
    <w:rPr/>
  </w:style>
  <w:style w:type="paragraph" w:styleId="Heading4">
    <w:name w:val="heading 4"/>
    <w:basedOn w:val="Normal"/>
    <w:next w:val="Normal"/>
    <w:link w:val="4"/>
    <w:qFormat/>
    <w:rsid w:val="00f9436d"/>
    <w:pPr>
      <w:keepNext w:val="true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"/>
    <w:qFormat/>
    <w:rsid w:val="00f9436d"/>
    <w:pPr>
      <w:keepNext w:val="true"/>
      <w:jc w:val="center"/>
      <w:outlineLvl w:val="4"/>
    </w:pPr>
    <w:rPr/>
  </w:style>
  <w:style w:type="paragraph" w:styleId="Heading6">
    <w:name w:val="heading 6"/>
    <w:basedOn w:val="Normal"/>
    <w:next w:val="Normal"/>
    <w:link w:val="6"/>
    <w:qFormat/>
    <w:rsid w:val="00f9436d"/>
    <w:pPr>
      <w:keepNext w:val="true"/>
      <w:outlineLvl w:val="5"/>
    </w:pPr>
    <w:rPr>
      <w:b/>
      <w:bCs/>
    </w:rPr>
  </w:style>
  <w:style w:type="paragraph" w:styleId="Heading9">
    <w:name w:val="heading 9"/>
    <w:basedOn w:val="Normal"/>
    <w:next w:val="Normal"/>
    <w:link w:val="9"/>
    <w:qFormat/>
    <w:rsid w:val="00f9436d"/>
    <w:pPr>
      <w:keepNext w:val="true"/>
      <w:ind w:hanging="34" w:left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43032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 w:customStyle="1">
    <w:name w:val="Заголовок 3 Знак"/>
    <w:basedOn w:val="DefaultParagraphFont"/>
    <w:qFormat/>
    <w:rsid w:val="00f9436d"/>
    <w:rPr>
      <w:rFonts w:ascii="Cambria" w:hAnsi="Cambria" w:eastAsia="Times New Roman" w:cs="Times New Roman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sid w:val="00f9436d"/>
    <w:rPr>
      <w:rFonts w:ascii="Calibri" w:hAnsi="Calibri" w:eastAsia="Times New Roman" w:cs="Times New Roman"/>
      <w:b/>
      <w:bCs/>
      <w:sz w:val="28"/>
      <w:szCs w:val="28"/>
    </w:rPr>
  </w:style>
  <w:style w:type="character" w:styleId="5" w:customStyle="1">
    <w:name w:val="Заголовок 5 Знак"/>
    <w:basedOn w:val="DefaultParagraphFont"/>
    <w:qFormat/>
    <w:rsid w:val="00f9436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qFormat/>
    <w:rsid w:val="00f9436d"/>
    <w:rPr>
      <w:rFonts w:ascii="Calibri" w:hAnsi="Calibri" w:eastAsia="Times New Roman" w:cs="Times New Roman"/>
      <w:b/>
      <w:bCs/>
    </w:rPr>
  </w:style>
  <w:style w:type="character" w:styleId="9" w:customStyle="1">
    <w:name w:val="Заголовок 9 Знак"/>
    <w:basedOn w:val="DefaultParagraphFont"/>
    <w:qFormat/>
    <w:rsid w:val="00f9436d"/>
    <w:rPr>
      <w:rFonts w:ascii="Cambria" w:hAnsi="Cambria" w:eastAsia="Times New Roman" w:cs="Times New Roman"/>
    </w:rPr>
  </w:style>
  <w:style w:type="character" w:styleId="Style7" w:customStyle="1">
    <w:name w:val="Заголовок Знак"/>
    <w:basedOn w:val="DefaultParagraphFont"/>
    <w:qFormat/>
    <w:rsid w:val="00f9436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semiHidden/>
    <w:qFormat/>
    <w:rsid w:val="00043032"/>
    <w:rPr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rsid w:val="00961495"/>
    <w:rPr>
      <w:sz w:val="24"/>
      <w:szCs w:val="24"/>
    </w:rPr>
  </w:style>
  <w:style w:type="character" w:styleId="2" w:customStyle="1">
    <w:name w:val="Заголовок 2 Знак"/>
    <w:basedOn w:val="DefaultParagraphFont"/>
    <w:qFormat/>
    <w:rsid w:val="00894ccc"/>
    <w:rPr>
      <w:rFonts w:ascii="Arial" w:hAnsi="Arial" w:cs="Arial"/>
      <w:b/>
      <w:bCs/>
      <w:sz w:val="22"/>
      <w:szCs w:val="22"/>
      <w:lang w:eastAsia="zh-CN"/>
    </w:rPr>
  </w:style>
  <w:style w:type="character" w:styleId="Style11" w:customStyle="1">
    <w:name w:val="Название Знак"/>
    <w:qFormat/>
    <w:rsid w:val="00cb44d6"/>
    <w:rPr>
      <w:sz w:val="28"/>
      <w:szCs w:val="24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firstLine="720" w:right="19772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8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8242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Style10"/>
    <w:rsid w:val="00961495"/>
    <w:pPr>
      <w:ind w:left="5400"/>
    </w:pPr>
    <w:rPr/>
  </w:style>
  <w:style w:type="paragraph" w:styleId="ListParagraph">
    <w:name w:val="List Paragraph"/>
    <w:basedOn w:val="Normal"/>
    <w:uiPriority w:val="34"/>
    <w:qFormat/>
    <w:rsid w:val="00d062fc"/>
    <w:pPr>
      <w:spacing w:before="0" w:after="0"/>
      <w:ind w:left="720"/>
      <w:contextualSpacing/>
    </w:pPr>
    <w:rPr/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558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BFAD-B1B6-4F0D-B46A-0F3559AC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4782</TotalTime>
  <Application>LibreOffice/24.8.4.2$Linux_X86_64 LibreOffice_project/480$Build-2</Application>
  <AppVersion>15.0000</AppVersion>
  <Pages>12</Pages>
  <Words>3095</Words>
  <Characters>20635</Characters>
  <CharactersWithSpaces>22762</CharactersWithSpaces>
  <Paragraphs>1252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2009-03-17T11:18:00Z</dcterms:created>
  <dc:creator>RAIFO</dc:creator>
  <dc:description/>
  <dc:language>ru-RU</dc:language>
  <cp:lastModifiedBy/>
  <cp:lastPrinted>2022-07-20T12:23:00Z</cp:lastPrinted>
  <dcterms:modified xsi:type="dcterms:W3CDTF">2025-12-29T09:28:33Z</dcterms:modified>
  <cp:revision>159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