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/>
      </w:r>
    </w:p>
    <w:p>
      <w:pPr>
        <w:pStyle w:val="Normal"/>
        <w:tabs>
          <w:tab w:val="clear" w:pos="709"/>
          <w:tab w:val="left" w:pos="1985" w:leader="none"/>
        </w:tabs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ab/>
      </w:r>
      <w:r>
        <w:rPr>
          <w:rFonts w:eastAsia="Times New Roman" w:cs="Arial" w:ascii="Arial" w:hAnsi="Arial"/>
          <w:b/>
          <w:sz w:val="24"/>
          <w:szCs w:val="24"/>
          <w:lang w:eastAsia="ru-RU"/>
          <w14:ligatures w14:val="none"/>
        </w:rPr>
        <w:t xml:space="preserve">                                                        </w:t>
        <w:tab/>
        <w:t xml:space="preserve">  </w:t>
        <w:tab/>
        <w:tab/>
        <w:t xml:space="preserve">          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firstLine="567" w:right="-284"/>
        <w:outlineLvl w:val="5"/>
        <w:rPr>
          <w:rFonts w:ascii="Times New Roman" w:hAnsi="Times New Roman" w:eastAsia="Times New Roman" w:cs="Times New Roman"/>
          <w:b/>
          <w:sz w:val="20"/>
          <w:szCs w:val="20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 xml:space="preserve">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val="tt-RU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  <w14:ligatures w14:val="none"/>
        </w:rPr>
        <w:t>ПОСТАНОВЛЕНИЕ                                                                                 КАРАР</w:t>
      </w:r>
    </w:p>
    <w:p>
      <w:pPr>
        <w:pStyle w:val="Normal"/>
        <w:suppressAutoHyphens w:val="false"/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  <w14:ligatures w14:val="none"/>
        </w:rPr>
        <w:t xml:space="preserve">№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  <w14:ligatures w14:val="none"/>
        </w:rPr>
        <w:t>от “__” _____2026 года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 xml:space="preserve"> </w:t>
      </w:r>
    </w:p>
    <w:p>
      <w:pPr>
        <w:pStyle w:val="Normal"/>
        <w:suppressAutoHyphens w:val="false"/>
        <w:spacing w:lineRule="auto" w:line="276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 xml:space="preserve">          </w:t>
      </w:r>
    </w:p>
    <w:p>
      <w:pPr>
        <w:pStyle w:val="Normal"/>
        <w:spacing w:lineRule="auto" w:line="240" w:before="0" w:after="0"/>
        <w:ind w:right="-1"/>
        <w:jc w:val="center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       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>О внесении изменений в 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«Байрякинское сельское поселение» Ютазинского муниципального района Республики Татарстан, утвержденные постановлением Исполнительного комитета Байрякинского сельского поселения Ютазинского муниципального района Республики Татарстан от 25.04.2025 года  № 9.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Уставом муниципального образования «Байрякинское сельское поселение » Ютазинского муниципального района Республики Татарстан, Исполнительный комитет Байрякинского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>п о с т а н о в л я е т: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     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>1. Внести в 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«Байрякинское сельское поселение» Ютазинского муниципального района Республики Татарстан, утвержденные постановлением Исполнительного комитета Байрякинского сельского поселения Ютазинского муниципального района Республики Татарстан от 25.04.2025 года № 9 следующие изменения: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1.1. Абзац 2 подпункта 3 пункта 4.2 правил изложить в следующей редакции </w:t>
      </w:r>
      <w:bookmarkStart w:id="0" w:name="_GoBack"/>
      <w:bookmarkEnd w:id="0"/>
      <w:r>
        <w:rPr>
          <w:rFonts w:eastAsia="Times New Roman" w:cs="Times New Roman" w:ascii="Tinos" w:hAnsi="Tinos"/>
          <w:sz w:val="28"/>
          <w:szCs w:val="28"/>
          <w:lang w:eastAsia="zh-CN"/>
        </w:rPr>
        <w:t>«Функциональный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три месяца в соответствии с инструкцией изготовителя. Особое внимание уделяют скрытым, труднодоступным элементам оборудования.»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Normal"/>
        <w:spacing w:lineRule="auto" w:line="240" w:before="0" w:after="0"/>
        <w:ind w:right="-1"/>
        <w:jc w:val="both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</w:t>
      </w:r>
      <w:r>
        <w:rPr>
          <w:rFonts w:eastAsia="Times New Roman" w:cs="Times New Roman" w:ascii="Tinos" w:hAnsi="Tinos"/>
          <w:sz w:val="28"/>
          <w:szCs w:val="28"/>
          <w:lang w:eastAsia="zh-CN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right="-1"/>
        <w:rPr>
          <w:rFonts w:ascii="Tinos" w:hAnsi="Tinos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nos" w:hAnsi="Tinos"/>
          <w:sz w:val="28"/>
          <w:szCs w:val="28"/>
          <w:lang w:eastAsia="zh-CN"/>
        </w:rPr>
        <w:t xml:space="preserve">        </w:t>
      </w:r>
    </w:p>
    <w:p>
      <w:pPr>
        <w:pStyle w:val="Normal"/>
        <w:tabs>
          <w:tab w:val="clear" w:pos="709"/>
          <w:tab w:val="left" w:pos="0" w:leader="none"/>
        </w:tabs>
        <w:spacing w:before="0" w:after="200"/>
        <w:contextualSpacing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Глава Байрякинского сельского поселения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Ютазинского муниципального района </w:t>
      </w:r>
    </w:p>
    <w:p>
      <w:pPr>
        <w:pStyle w:val="Normal"/>
        <w:tabs>
          <w:tab w:val="clear" w:pos="709"/>
          <w:tab w:val="left" w:pos="0" w:leader="none"/>
        </w:tabs>
        <w:spacing w:before="0" w:after="200"/>
        <w:contextualSpacing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Республики Татарстан                                                         </w:t>
      </w:r>
      <w:r>
        <w:rPr>
          <w:rFonts w:eastAsia="Times New Roman" w:cs="Times New Roman" w:ascii="Times New Roman" w:hAnsi="Times New Roman"/>
          <w:spacing w:val="20"/>
          <w:sz w:val="28"/>
          <w:szCs w:val="28"/>
          <w:shd w:fill="FFFFFF" w:val="clear"/>
          <w:lang w:eastAsia="ru-RU"/>
        </w:rPr>
        <w:t>А.О. Ахметшина</w:t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rPr>
          <w:rFonts w:ascii="Tinos" w:hAnsi="Tinos"/>
          <w:sz w:val="24"/>
          <w:szCs w:val="24"/>
          <w:shd w:fill="FFFFFF" w:val="clear"/>
        </w:rPr>
      </w:pPr>
      <w:r>
        <w:rPr>
          <w:rFonts w:ascii="Tinos" w:hAnsi="Tinos"/>
          <w:sz w:val="24"/>
          <w:szCs w:val="24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 Light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auto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1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ПРОЕКТ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40" w:before="0" w:after="0"/>
      <w:jc w:val="center"/>
      <w:outlineLvl w:val="0"/>
    </w:pPr>
    <w:rPr>
      <w:rFonts w:ascii="Times New Roman" w:hAnsi="Times New Roman" w:eastAsia="Arial" w:cs="Arial" w:cstheme="majorBidi" w:eastAsiaTheme="majorEastAsia"/>
      <w:sz w:val="28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lineRule="auto" w:line="240" w:before="0" w:after="0"/>
      <w:outlineLvl w:val="1"/>
    </w:pPr>
    <w:rPr>
      <w:rFonts w:ascii="Times New Roman" w:hAnsi="Times New Roman" w:eastAsia="Arial" w:cs="Arial" w:cstheme="majorBidi" w:eastAsiaTheme="majorEastAsia"/>
      <w:sz w:val="28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lineRule="auto" w:line="240" w:before="0" w:after="0"/>
      <w:ind w:firstLine="709"/>
      <w:jc w:val="both"/>
      <w:outlineLvl w:val="2"/>
    </w:pPr>
    <w:rPr>
      <w:rFonts w:ascii="Times New Roman" w:hAnsi="Times New Roman" w:eastAsia="Arial" w:cs="Arial" w:cstheme="majorBidi" w:eastAsiaTheme="majorEastAsia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lineRule="auto" w:line="240" w:before="0" w:after="0"/>
      <w:outlineLvl w:val="3"/>
    </w:pPr>
    <w:rPr>
      <w:rFonts w:ascii="Times New Roman" w:hAnsi="Times New Roman" w:eastAsia="Arial" w:cs="Arial" w:cstheme="majorBidi" w:eastAsiaTheme="majorEastAsia"/>
      <w:iCs/>
      <w:sz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Arial" w:cs="Arial" w:cstheme="majorBidi" w:eastAsiaTheme="majorEastAsia"/>
      <w:iCs/>
      <w:sz w:val="28"/>
    </w:rPr>
  </w:style>
  <w:style w:type="character" w:styleId="5" w:customStyle="1">
    <w:name w:val="Заголовок 5 Знак"/>
    <w:basedOn w:val="DefaultParagraphFont"/>
    <w:uiPriority w:val="9"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character" w:styleId="Style14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4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Style15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IndexHeading">
    <w:name w:val="index heading"/>
    <w:basedOn w:val="Title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OCHeading">
    <w:name w:val="TOC Heading"/>
    <w:basedOn w:val="Heading1"/>
    <w:uiPriority w:val="39"/>
    <w:unhideWhenUsed/>
    <w:qFormat/>
    <w:pPr>
      <w:spacing w:before="240" w:after="0"/>
      <w:outlineLvl w:val="9"/>
    </w:pPr>
    <w:rPr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9"/>
        <w:tab w:val="right" w:pos="9060" w:leader="dot"/>
      </w:tabs>
      <w:spacing w:before="0" w:after="0"/>
      <w:jc w:val="both"/>
    </w:pPr>
    <w:rPr>
      <w:rFonts w:cs="Calibri" w:cstheme="minorHAnsi"/>
      <w:smallCaps/>
      <w:sz w:val="20"/>
      <w:szCs w:val="20"/>
    </w:rPr>
  </w:style>
  <w:style w:type="paragraph" w:styleId="TOC1">
    <w:name w:val="toc 1"/>
    <w:basedOn w:val="Normal"/>
    <w:uiPriority w:val="39"/>
    <w:unhideWhenUsed/>
    <w:pPr>
      <w:tabs>
        <w:tab w:val="clear" w:pos="709"/>
        <w:tab w:val="right" w:pos="9060" w:leader="dot"/>
      </w:tabs>
      <w:spacing w:before="0" w:after="0"/>
      <w:jc w:val="both"/>
    </w:pPr>
    <w:rPr>
      <w:rFonts w:cs="Calibri" w:cstheme="minorHAnsi"/>
      <w:b/>
      <w:bCs/>
      <w: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12" w:customStyle="1">
    <w:name w:val="Обычный (веб)1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76C7-6D74-4412-B3A6-F45DE197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2</Pages>
  <Words>375</Words>
  <Characters>2907</Characters>
  <CharactersWithSpaces>3672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2026-01-30T06:48:00Z</dcterms:created>
  <dc:creator>Office</dc:creator>
  <dc:description/>
  <dc:language>ru-RU</dc:language>
  <cp:lastModifiedBy/>
  <cp:lastPrinted>2026-01-30T06:46:00Z</cp:lastPrinted>
  <dcterms:modified xsi:type="dcterms:W3CDTF">2026-02-03T10:11:14Z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