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AA" w:rsidRDefault="001206AA">
      <w:pPr>
        <w:spacing w:line="271" w:lineRule="auto"/>
        <w:jc w:val="right"/>
        <w:rPr>
          <w:b/>
          <w:sz w:val="40"/>
          <w:szCs w:val="40"/>
        </w:rPr>
      </w:pPr>
    </w:p>
    <w:p w:rsidR="001206AA" w:rsidRDefault="00B57298">
      <w:pPr>
        <w:spacing w:line="271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820A2A" w:rsidRDefault="00820A2A">
      <w:pPr>
        <w:spacing w:line="271" w:lineRule="auto"/>
        <w:jc w:val="right"/>
        <w:rPr>
          <w:b/>
          <w:sz w:val="28"/>
          <w:szCs w:val="28"/>
        </w:rPr>
      </w:pPr>
    </w:p>
    <w:p w:rsidR="00820A2A" w:rsidRDefault="00820A2A">
      <w:pPr>
        <w:spacing w:line="271" w:lineRule="auto"/>
        <w:jc w:val="right"/>
        <w:rPr>
          <w:b/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1206AA">
      <w:pPr>
        <w:spacing w:line="271" w:lineRule="auto"/>
        <w:jc w:val="both"/>
        <w:rPr>
          <w:sz w:val="28"/>
          <w:szCs w:val="28"/>
        </w:rPr>
      </w:pPr>
    </w:p>
    <w:p w:rsidR="001206AA" w:rsidRDefault="00490852">
      <w:pPr>
        <w:spacing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206AA" w:rsidRDefault="00490852">
      <w:pPr>
        <w:spacing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Ютазинского </w:t>
      </w:r>
    </w:p>
    <w:p w:rsidR="001206AA" w:rsidRDefault="00490852">
      <w:pPr>
        <w:spacing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B57298" w:rsidRDefault="00490852" w:rsidP="00B57298">
      <w:pPr>
        <w:spacing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</w:t>
      </w:r>
      <w:r w:rsidR="00B57298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B57298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57298">
        <w:rPr>
          <w:sz w:val="28"/>
          <w:szCs w:val="28"/>
        </w:rPr>
        <w:t>6 № 40</w:t>
      </w:r>
      <w:r>
        <w:rPr>
          <w:sz w:val="28"/>
          <w:szCs w:val="28"/>
        </w:rPr>
        <w:t xml:space="preserve"> «</w:t>
      </w:r>
      <w:r w:rsidR="00B57298" w:rsidRPr="00B57298">
        <w:rPr>
          <w:sz w:val="28"/>
          <w:szCs w:val="28"/>
        </w:rPr>
        <w:t xml:space="preserve">Об утверждении порядка </w:t>
      </w:r>
    </w:p>
    <w:p w:rsidR="00B57298" w:rsidRDefault="00B57298" w:rsidP="00B57298">
      <w:pPr>
        <w:spacing w:line="271" w:lineRule="auto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(плана) действий по ликвидации последствий </w:t>
      </w:r>
    </w:p>
    <w:p w:rsidR="00B57298" w:rsidRPr="00B57298" w:rsidRDefault="00B57298" w:rsidP="00B57298">
      <w:pPr>
        <w:spacing w:line="271" w:lineRule="auto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аварийных ситуаций в сфере теплоснабжения </w:t>
      </w:r>
    </w:p>
    <w:p w:rsidR="00B57298" w:rsidRPr="00B57298" w:rsidRDefault="00B57298" w:rsidP="00B57298">
      <w:pPr>
        <w:spacing w:line="271" w:lineRule="auto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в Ютазинском муниципальном районе </w:t>
      </w:r>
    </w:p>
    <w:p w:rsidR="00B57298" w:rsidRPr="00B57298" w:rsidRDefault="00B57298" w:rsidP="00B57298">
      <w:pPr>
        <w:spacing w:line="271" w:lineRule="auto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Республики Татарстан с применением электронного </w:t>
      </w:r>
    </w:p>
    <w:p w:rsidR="001206AA" w:rsidRDefault="00B57298" w:rsidP="00B57298">
      <w:pPr>
        <w:spacing w:line="271" w:lineRule="auto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моделирования аварийных ситуаций</w:t>
      </w:r>
      <w:r w:rsidR="00490852">
        <w:rPr>
          <w:sz w:val="28"/>
          <w:szCs w:val="28"/>
        </w:rPr>
        <w:t>»</w:t>
      </w:r>
    </w:p>
    <w:p w:rsidR="001206AA" w:rsidRDefault="001206AA">
      <w:pPr>
        <w:spacing w:line="271" w:lineRule="auto"/>
        <w:jc w:val="both"/>
        <w:rPr>
          <w:sz w:val="16"/>
          <w:szCs w:val="16"/>
        </w:rPr>
      </w:pP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В</w:t>
      </w:r>
      <w:r w:rsidRPr="00B57298">
        <w:rPr>
          <w:rFonts w:eastAsia="Calibri"/>
          <w:sz w:val="28"/>
          <w:szCs w:val="28"/>
        </w:rPr>
        <w:t xml:space="preserve">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B57298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периоду»», Приказом Министерства энергетики Российской Федерации от 24.03.2003 № 115 «Об утверждении Правил технической эксплуатации тепловых энергоустановок»,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обеспечения </w:t>
      </w:r>
      <w:proofErr w:type="spellStart"/>
      <w:r w:rsidRPr="00B57298">
        <w:rPr>
          <w:sz w:val="28"/>
          <w:szCs w:val="28"/>
        </w:rPr>
        <w:t>надежного</w:t>
      </w:r>
      <w:proofErr w:type="spellEnd"/>
      <w:r w:rsidRPr="00B57298">
        <w:rPr>
          <w:sz w:val="28"/>
          <w:szCs w:val="28"/>
        </w:rPr>
        <w:t xml:space="preserve"> теплоснабжения потребителей Ютазинского муниципального района Республики Татарстан,  Исполнительный комитет Ютазинского муниципального района Республики Татарстан п о с т а н о в л я е т:</w:t>
      </w:r>
    </w:p>
    <w:p w:rsidR="001206AA" w:rsidRDefault="001206AA">
      <w:pPr>
        <w:spacing w:line="271" w:lineRule="auto"/>
        <w:ind w:firstLine="851"/>
        <w:jc w:val="both"/>
        <w:rPr>
          <w:sz w:val="18"/>
          <w:szCs w:val="18"/>
        </w:rPr>
      </w:pPr>
    </w:p>
    <w:p w:rsidR="001206AA" w:rsidRPr="00B57298" w:rsidRDefault="00490852" w:rsidP="00B57298">
      <w:pPr>
        <w:pStyle w:val="ab"/>
        <w:numPr>
          <w:ilvl w:val="0"/>
          <w:numId w:val="1"/>
        </w:numPr>
        <w:tabs>
          <w:tab w:val="left" w:pos="993"/>
        </w:tabs>
        <w:spacing w:line="271" w:lineRule="auto"/>
        <w:ind w:left="0" w:firstLine="851"/>
        <w:jc w:val="both"/>
        <w:rPr>
          <w:rFonts w:eastAsia="Calibri"/>
          <w:sz w:val="28"/>
          <w:szCs w:val="28"/>
          <w:lang w:eastAsia="zh-CN"/>
        </w:rPr>
      </w:pPr>
      <w:r w:rsidRPr="00B57298">
        <w:rPr>
          <w:rFonts w:eastAsia="Calibri"/>
          <w:sz w:val="28"/>
          <w:szCs w:val="28"/>
          <w:lang w:eastAsia="zh-CN"/>
        </w:rPr>
        <w:t xml:space="preserve"> Внести в Постановление Исполнительного комитета Ютазинского муниципального района Республики Татарстан </w:t>
      </w:r>
      <w:r w:rsidR="00B57298" w:rsidRPr="00B57298">
        <w:rPr>
          <w:rFonts w:eastAsia="Calibri"/>
          <w:sz w:val="28"/>
          <w:szCs w:val="28"/>
          <w:lang w:eastAsia="zh-CN"/>
        </w:rPr>
        <w:t xml:space="preserve">от 22.01.2026 № 40 «Об утверждении порядка (плана) действий по ликвидации последствий аварийных ситуаций в сфере теплоснабжения в Ютазинском муниципальном районе Республики Татарстан с </w:t>
      </w:r>
      <w:r w:rsidR="00B57298" w:rsidRPr="00B57298">
        <w:rPr>
          <w:rFonts w:eastAsia="Calibri"/>
          <w:sz w:val="28"/>
          <w:szCs w:val="28"/>
          <w:lang w:eastAsia="zh-CN"/>
        </w:rPr>
        <w:lastRenderedPageBreak/>
        <w:t>применением электронного моделирования аварийных ситуаций»</w:t>
      </w:r>
      <w:r w:rsidRPr="00B57298">
        <w:rPr>
          <w:rFonts w:eastAsia="Calibri"/>
          <w:sz w:val="28"/>
          <w:szCs w:val="28"/>
          <w:lang w:eastAsia="zh-CN"/>
        </w:rPr>
        <w:t xml:space="preserve"> следующие изменения:</w:t>
      </w:r>
    </w:p>
    <w:p w:rsidR="001206AA" w:rsidRDefault="00490852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="00B57298">
        <w:rPr>
          <w:sz w:val="28"/>
          <w:szCs w:val="28"/>
        </w:rPr>
        <w:t xml:space="preserve">Раздел </w:t>
      </w:r>
      <w:r w:rsidR="00B57298">
        <w:rPr>
          <w:sz w:val="28"/>
          <w:szCs w:val="28"/>
          <w:lang w:val="en-US"/>
        </w:rPr>
        <w:t>VII</w:t>
      </w:r>
      <w:r w:rsidR="00B57298" w:rsidRPr="00B5729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B57298">
        <w:rPr>
          <w:sz w:val="28"/>
          <w:szCs w:val="28"/>
        </w:rPr>
        <w:t>я</w:t>
      </w:r>
      <w:r>
        <w:rPr>
          <w:sz w:val="28"/>
          <w:szCs w:val="28"/>
        </w:rPr>
        <w:t xml:space="preserve"> № </w:t>
      </w:r>
      <w:r w:rsidR="00B57298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1206AA" w:rsidRDefault="00490852">
      <w:pPr>
        <w:pStyle w:val="ab"/>
        <w:numPr>
          <w:ilvl w:val="0"/>
          <w:numId w:val="1"/>
        </w:numPr>
        <w:tabs>
          <w:tab w:val="left" w:pos="993"/>
        </w:tabs>
        <w:spacing w:line="271" w:lineRule="auto"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Официально обнародовать настоящее постановление </w:t>
      </w:r>
      <w:proofErr w:type="spellStart"/>
      <w:r>
        <w:rPr>
          <w:rFonts w:eastAsia="Calibri"/>
          <w:sz w:val="28"/>
          <w:szCs w:val="28"/>
          <w:lang w:eastAsia="zh-CN"/>
        </w:rPr>
        <w:t>путем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eastAsia="Calibri"/>
          <w:sz w:val="28"/>
          <w:szCs w:val="28"/>
          <w:lang w:eastAsia="zh-CN"/>
        </w:rPr>
        <w:t>Роскомнадзор</w:t>
      </w:r>
      <w:proofErr w:type="spellEnd"/>
      <w:r>
        <w:rPr>
          <w:rFonts w:eastAsia="Calibri"/>
          <w:sz w:val="28"/>
          <w:szCs w:val="28"/>
          <w:lang w:eastAsia="zh-CN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6">
        <w:r>
          <w:rPr>
            <w:rFonts w:eastAsia="Calibri"/>
            <w:sz w:val="28"/>
            <w:szCs w:val="28"/>
            <w:lang w:eastAsia="zh-CN"/>
          </w:rPr>
          <w:t>http://jutaza.tatarstan.ru/</w:t>
        </w:r>
      </w:hyperlink>
      <w:r>
        <w:rPr>
          <w:rFonts w:eastAsia="Calibri"/>
          <w:sz w:val="28"/>
          <w:szCs w:val="28"/>
          <w:lang w:eastAsia="zh-CN"/>
        </w:rPr>
        <w:t>.</w:t>
      </w:r>
    </w:p>
    <w:p w:rsidR="001206AA" w:rsidRDefault="00490852">
      <w:pPr>
        <w:tabs>
          <w:tab w:val="left" w:pos="426"/>
        </w:tabs>
        <w:spacing w:line="271" w:lineRule="auto"/>
        <w:ind w:firstLine="85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официального опубликования.</w:t>
      </w:r>
    </w:p>
    <w:p w:rsidR="001206AA" w:rsidRDefault="00490852">
      <w:pPr>
        <w:tabs>
          <w:tab w:val="left" w:pos="426"/>
        </w:tabs>
        <w:spacing w:line="271" w:lineRule="auto"/>
        <w:ind w:firstLine="85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206AA" w:rsidRDefault="00490852">
      <w:pPr>
        <w:spacing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06AA" w:rsidRDefault="001206AA">
      <w:pPr>
        <w:spacing w:line="271" w:lineRule="auto"/>
        <w:jc w:val="both"/>
        <w:rPr>
          <w:sz w:val="16"/>
          <w:szCs w:val="16"/>
        </w:rPr>
      </w:pPr>
    </w:p>
    <w:p w:rsidR="001206AA" w:rsidRDefault="0049085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206AA" w:rsidRDefault="00490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206AA" w:rsidRDefault="00490852">
      <w:pPr>
        <w:jc w:val="both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</w:p>
    <w:p w:rsidR="001206AA" w:rsidRDefault="00490852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С.П. Самонина</w:t>
      </w:r>
    </w:p>
    <w:p w:rsidR="001206AA" w:rsidRDefault="001206AA">
      <w:pPr>
        <w:jc w:val="both"/>
        <w:rPr>
          <w:sz w:val="16"/>
          <w:szCs w:val="16"/>
        </w:rPr>
      </w:pPr>
    </w:p>
    <w:p w:rsidR="001206AA" w:rsidRDefault="001206AA">
      <w:pPr>
        <w:jc w:val="both"/>
        <w:rPr>
          <w:sz w:val="16"/>
          <w:szCs w:val="16"/>
        </w:rPr>
      </w:pPr>
    </w:p>
    <w:p w:rsidR="001206AA" w:rsidRDefault="001206AA">
      <w:pPr>
        <w:jc w:val="both"/>
        <w:rPr>
          <w:sz w:val="16"/>
          <w:szCs w:val="16"/>
        </w:rPr>
      </w:pPr>
    </w:p>
    <w:p w:rsidR="001206AA" w:rsidRDefault="001206AA">
      <w:pPr>
        <w:jc w:val="both"/>
        <w:rPr>
          <w:sz w:val="16"/>
          <w:szCs w:val="16"/>
        </w:rPr>
      </w:pPr>
    </w:p>
    <w:p w:rsidR="001206AA" w:rsidRDefault="001206AA">
      <w:pPr>
        <w:jc w:val="both"/>
        <w:rPr>
          <w:sz w:val="16"/>
          <w:szCs w:val="16"/>
        </w:rPr>
      </w:pPr>
    </w:p>
    <w:p w:rsidR="001206AA" w:rsidRDefault="001206AA">
      <w:pPr>
        <w:jc w:val="both"/>
        <w:rPr>
          <w:sz w:val="16"/>
          <w:szCs w:val="16"/>
        </w:rPr>
      </w:pPr>
    </w:p>
    <w:p w:rsidR="001206AA" w:rsidRDefault="001206AA">
      <w:pPr>
        <w:jc w:val="both"/>
        <w:rPr>
          <w:sz w:val="16"/>
          <w:szCs w:val="16"/>
        </w:rPr>
      </w:pPr>
    </w:p>
    <w:p w:rsidR="001206AA" w:rsidRDefault="001206AA">
      <w:pPr>
        <w:jc w:val="both"/>
        <w:rPr>
          <w:sz w:val="16"/>
          <w:szCs w:val="16"/>
        </w:rPr>
      </w:pPr>
    </w:p>
    <w:p w:rsidR="001206AA" w:rsidRDefault="00490852">
      <w:pPr>
        <w:spacing w:line="271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А.Н.Захаров</w:t>
      </w:r>
      <w:proofErr w:type="spellEnd"/>
    </w:p>
    <w:p w:rsidR="001206AA" w:rsidRDefault="00490852">
      <w:pPr>
        <w:spacing w:line="271" w:lineRule="auto"/>
        <w:jc w:val="both"/>
        <w:rPr>
          <w:sz w:val="16"/>
          <w:szCs w:val="16"/>
        </w:rPr>
      </w:pPr>
      <w:r>
        <w:rPr>
          <w:sz w:val="16"/>
          <w:szCs w:val="16"/>
        </w:rPr>
        <w:t>(85593) 2-42-07</w:t>
      </w:r>
    </w:p>
    <w:p w:rsidR="00B57298" w:rsidRDefault="00B57298">
      <w:pPr>
        <w:spacing w:line="271" w:lineRule="auto"/>
        <w:jc w:val="both"/>
        <w:rPr>
          <w:sz w:val="16"/>
          <w:szCs w:val="16"/>
        </w:rPr>
      </w:pPr>
    </w:p>
    <w:p w:rsidR="00B57298" w:rsidRDefault="00B57298">
      <w:pPr>
        <w:spacing w:line="271" w:lineRule="auto"/>
        <w:jc w:val="both"/>
        <w:rPr>
          <w:sz w:val="16"/>
          <w:szCs w:val="16"/>
        </w:rPr>
      </w:pPr>
    </w:p>
    <w:p w:rsidR="00B57298" w:rsidRDefault="00B57298">
      <w:pPr>
        <w:spacing w:line="271" w:lineRule="auto"/>
        <w:jc w:val="both"/>
        <w:rPr>
          <w:sz w:val="16"/>
          <w:szCs w:val="16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Pr="00B57298" w:rsidRDefault="00B57298" w:rsidP="00B57298">
      <w:pPr>
        <w:ind w:left="5811"/>
        <w:rPr>
          <w:color w:val="000000"/>
          <w:lang w:eastAsia="zh-CN"/>
        </w:rPr>
      </w:pPr>
      <w:r w:rsidRPr="00B57298">
        <w:rPr>
          <w:color w:val="000000"/>
          <w:lang w:eastAsia="zh-CN"/>
        </w:rPr>
        <w:t xml:space="preserve">Приложение </w:t>
      </w:r>
    </w:p>
    <w:p w:rsidR="00B57298" w:rsidRPr="00B57298" w:rsidRDefault="00B57298" w:rsidP="00B57298">
      <w:pPr>
        <w:ind w:left="5811"/>
        <w:rPr>
          <w:color w:val="000000"/>
          <w:lang w:eastAsia="zh-CN"/>
        </w:rPr>
      </w:pPr>
      <w:r w:rsidRPr="00B57298">
        <w:rPr>
          <w:color w:val="000000"/>
          <w:lang w:eastAsia="zh-CN"/>
        </w:rPr>
        <w:t xml:space="preserve">к Постановлению  </w:t>
      </w:r>
    </w:p>
    <w:p w:rsidR="00B57298" w:rsidRPr="00B57298" w:rsidRDefault="00B57298" w:rsidP="00B57298">
      <w:pPr>
        <w:ind w:left="5811"/>
        <w:rPr>
          <w:color w:val="000000"/>
          <w:lang w:eastAsia="zh-CN"/>
        </w:rPr>
      </w:pPr>
      <w:r w:rsidRPr="00B57298">
        <w:rPr>
          <w:color w:val="000000"/>
          <w:lang w:eastAsia="zh-CN"/>
        </w:rPr>
        <w:t xml:space="preserve">Исполнительного комитета </w:t>
      </w:r>
    </w:p>
    <w:p w:rsidR="00B57298" w:rsidRPr="00B57298" w:rsidRDefault="00B57298" w:rsidP="00B57298">
      <w:pPr>
        <w:ind w:left="5811"/>
        <w:rPr>
          <w:color w:val="000000"/>
          <w:lang w:eastAsia="zh-CN"/>
        </w:rPr>
      </w:pPr>
      <w:r w:rsidRPr="00B57298">
        <w:rPr>
          <w:color w:val="000000"/>
          <w:lang w:eastAsia="zh-CN"/>
        </w:rPr>
        <w:t>Ютазинского муниципального района</w:t>
      </w:r>
    </w:p>
    <w:p w:rsidR="00B57298" w:rsidRPr="00B57298" w:rsidRDefault="00B57298" w:rsidP="00B57298">
      <w:pPr>
        <w:ind w:left="5811"/>
        <w:rPr>
          <w:color w:val="000000"/>
          <w:lang w:eastAsia="zh-CN"/>
        </w:rPr>
      </w:pPr>
      <w:r w:rsidRPr="00B57298">
        <w:rPr>
          <w:color w:val="000000"/>
          <w:lang w:eastAsia="zh-CN"/>
        </w:rPr>
        <w:t>Республики Татарстан</w:t>
      </w:r>
    </w:p>
    <w:p w:rsidR="00B57298" w:rsidRPr="00B57298" w:rsidRDefault="00B57298" w:rsidP="00B57298">
      <w:pPr>
        <w:ind w:left="5811"/>
        <w:rPr>
          <w:color w:val="000000"/>
          <w:lang w:eastAsia="zh-CN"/>
        </w:rPr>
      </w:pPr>
      <w:r w:rsidRPr="00B57298">
        <w:rPr>
          <w:color w:val="000000"/>
          <w:lang w:eastAsia="zh-CN"/>
        </w:rPr>
        <w:t>от «____» ________</w:t>
      </w:r>
      <w:proofErr w:type="gramStart"/>
      <w:r w:rsidRPr="00B57298">
        <w:rPr>
          <w:color w:val="000000"/>
          <w:lang w:eastAsia="zh-CN"/>
        </w:rPr>
        <w:t>_  2026</w:t>
      </w:r>
      <w:proofErr w:type="gramEnd"/>
      <w:r w:rsidRPr="00B57298">
        <w:rPr>
          <w:color w:val="000000"/>
          <w:lang w:eastAsia="zh-CN"/>
        </w:rPr>
        <w:t xml:space="preserve"> г № ______</w:t>
      </w: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</w:p>
    <w:p w:rsidR="00B57298" w:rsidRDefault="00B57298" w:rsidP="00B57298">
      <w:pPr>
        <w:tabs>
          <w:tab w:val="left" w:pos="993"/>
        </w:tabs>
        <w:spacing w:line="276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Применение электронного моделирования аварийных ситуаций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center"/>
        <w:rPr>
          <w:sz w:val="28"/>
          <w:szCs w:val="28"/>
        </w:rPr>
      </w:pP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В целях компьютерного моделирования при ликвидации последствий аварийных ситуаций </w:t>
      </w:r>
      <w:proofErr w:type="spellStart"/>
      <w:r w:rsidRPr="00B57298">
        <w:rPr>
          <w:sz w:val="28"/>
          <w:szCs w:val="28"/>
        </w:rPr>
        <w:t>ресурсоснабжающая</w:t>
      </w:r>
      <w:proofErr w:type="spellEnd"/>
      <w:r w:rsidRPr="00B57298">
        <w:rPr>
          <w:sz w:val="28"/>
          <w:szCs w:val="28"/>
        </w:rPr>
        <w:t xml:space="preserve"> организация обязана использовать электронную модель системы теплоснабжения, созданную с применением специализированного программно-</w:t>
      </w:r>
      <w:proofErr w:type="spellStart"/>
      <w:r w:rsidRPr="00B57298">
        <w:rPr>
          <w:sz w:val="28"/>
          <w:szCs w:val="28"/>
        </w:rPr>
        <w:t>расчетного</w:t>
      </w:r>
      <w:proofErr w:type="spellEnd"/>
      <w:r w:rsidRPr="00B57298">
        <w:rPr>
          <w:sz w:val="28"/>
          <w:szCs w:val="28"/>
        </w:rPr>
        <w:t xml:space="preserve"> комплекса. При этом в соответствии с пунктом 55 Требований к схемам теплоснабжения, утвержденных постановлением Правительства Российской Федерации от 22.02.2012 № 154, электронная модель системы теплоснабжения поселения, городского округа, города федерального значения должна содержать: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а) графическое представление объектов системы теплоснабжения с привязкой к топографической основе поселения, городского округа, города федерального значения и с полным топологическим описанием связности объектов;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б) паспортизацию объектов системы теплоснабжения;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в) паспортизацию и описание </w:t>
      </w:r>
      <w:proofErr w:type="spellStart"/>
      <w:r w:rsidRPr="00B57298">
        <w:rPr>
          <w:sz w:val="28"/>
          <w:szCs w:val="28"/>
        </w:rPr>
        <w:t>расчетных</w:t>
      </w:r>
      <w:proofErr w:type="spellEnd"/>
      <w:r w:rsidRPr="00B57298">
        <w:rPr>
          <w:sz w:val="28"/>
          <w:szCs w:val="28"/>
        </w:rPr>
        <w:t xml:space="preserve"> единиц территориального деления, включая административное;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г) гидравлический </w:t>
      </w:r>
      <w:proofErr w:type="spellStart"/>
      <w:r w:rsidRPr="00B57298">
        <w:rPr>
          <w:sz w:val="28"/>
          <w:szCs w:val="28"/>
        </w:rPr>
        <w:t>расчет</w:t>
      </w:r>
      <w:proofErr w:type="spellEnd"/>
      <w:r w:rsidRPr="00B57298">
        <w:rPr>
          <w:sz w:val="28"/>
          <w:szCs w:val="28"/>
        </w:rPr>
        <w:t xml:space="preserve"> тепловых сетей любой степени </w:t>
      </w:r>
      <w:proofErr w:type="spellStart"/>
      <w:r w:rsidRPr="00B57298">
        <w:rPr>
          <w:sz w:val="28"/>
          <w:szCs w:val="28"/>
        </w:rPr>
        <w:t>закольцованности</w:t>
      </w:r>
      <w:proofErr w:type="spellEnd"/>
      <w:r w:rsidRPr="00B57298">
        <w:rPr>
          <w:sz w:val="28"/>
          <w:szCs w:val="28"/>
        </w:rPr>
        <w:t xml:space="preserve">, в том числе гидравлический </w:t>
      </w:r>
      <w:proofErr w:type="spellStart"/>
      <w:r w:rsidRPr="00B57298">
        <w:rPr>
          <w:sz w:val="28"/>
          <w:szCs w:val="28"/>
        </w:rPr>
        <w:t>расчет</w:t>
      </w:r>
      <w:proofErr w:type="spellEnd"/>
      <w:r w:rsidRPr="00B57298">
        <w:rPr>
          <w:sz w:val="28"/>
          <w:szCs w:val="28"/>
        </w:rPr>
        <w:t xml:space="preserve"> при совместной работе нескольких источников тепловой энергии на единую тепловую сеть;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е) </w:t>
      </w:r>
      <w:proofErr w:type="spellStart"/>
      <w:r w:rsidRPr="00B57298">
        <w:rPr>
          <w:sz w:val="28"/>
          <w:szCs w:val="28"/>
        </w:rPr>
        <w:t>расчет</w:t>
      </w:r>
      <w:proofErr w:type="spellEnd"/>
      <w:r w:rsidRPr="00B57298">
        <w:rPr>
          <w:sz w:val="28"/>
          <w:szCs w:val="28"/>
        </w:rPr>
        <w:t xml:space="preserve"> балансов тепловой энергии по источникам тепловой энергии и по территориальному признаку;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ж) </w:t>
      </w:r>
      <w:proofErr w:type="spellStart"/>
      <w:r w:rsidRPr="00B57298">
        <w:rPr>
          <w:sz w:val="28"/>
          <w:szCs w:val="28"/>
        </w:rPr>
        <w:t>расчет</w:t>
      </w:r>
      <w:proofErr w:type="spellEnd"/>
      <w:r w:rsidRPr="00B57298">
        <w:rPr>
          <w:sz w:val="28"/>
          <w:szCs w:val="28"/>
        </w:rPr>
        <w:t xml:space="preserve"> потерь тепловой энергии через изоляцию и с утечками теплоносителя;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з) </w:t>
      </w:r>
      <w:proofErr w:type="spellStart"/>
      <w:r w:rsidRPr="00B57298">
        <w:rPr>
          <w:sz w:val="28"/>
          <w:szCs w:val="28"/>
        </w:rPr>
        <w:t>расчет</w:t>
      </w:r>
      <w:proofErr w:type="spellEnd"/>
      <w:r w:rsidRPr="00B57298">
        <w:rPr>
          <w:sz w:val="28"/>
          <w:szCs w:val="28"/>
        </w:rPr>
        <w:t xml:space="preserve"> показателей </w:t>
      </w:r>
      <w:proofErr w:type="spellStart"/>
      <w:r w:rsidRPr="00B57298">
        <w:rPr>
          <w:sz w:val="28"/>
          <w:szCs w:val="28"/>
        </w:rPr>
        <w:t>надежности</w:t>
      </w:r>
      <w:proofErr w:type="spellEnd"/>
      <w:r w:rsidRPr="00B57298">
        <w:rPr>
          <w:sz w:val="28"/>
          <w:szCs w:val="28"/>
        </w:rPr>
        <w:t xml:space="preserve"> теплоснабжения;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 и должны включать в себя: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- формирование перечней и сводок по отключаемым абонентам 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- иную информацию, необходимую для электронного моделирования ликвидации последствий аварийных ситуаций.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>В качестве инструмента для решения задач с применением электронного моделирования ликвидации последствий аварийных ситуаций в Ютазинском муниципальном районе Республики Татарстан рекомендуется использовать электронную модель, созданную в программно-</w:t>
      </w:r>
      <w:proofErr w:type="spellStart"/>
      <w:r w:rsidRPr="00B57298">
        <w:rPr>
          <w:sz w:val="28"/>
          <w:szCs w:val="28"/>
        </w:rPr>
        <w:t>расчетном</w:t>
      </w:r>
      <w:proofErr w:type="spellEnd"/>
      <w:r w:rsidRPr="00B57298">
        <w:rPr>
          <w:sz w:val="28"/>
          <w:szCs w:val="28"/>
        </w:rPr>
        <w:t xml:space="preserve"> комплексе </w:t>
      </w:r>
      <w:proofErr w:type="spellStart"/>
      <w:r w:rsidRPr="00B57298">
        <w:rPr>
          <w:sz w:val="28"/>
          <w:szCs w:val="28"/>
        </w:rPr>
        <w:t>Zulu</w:t>
      </w:r>
      <w:proofErr w:type="spellEnd"/>
      <w:r w:rsidRPr="00B57298">
        <w:rPr>
          <w:sz w:val="28"/>
          <w:szCs w:val="28"/>
        </w:rPr>
        <w:t xml:space="preserve"> (разработчик ООО «</w:t>
      </w:r>
      <w:proofErr w:type="spellStart"/>
      <w:r w:rsidRPr="00B57298">
        <w:rPr>
          <w:sz w:val="28"/>
          <w:szCs w:val="28"/>
        </w:rPr>
        <w:t>Политерм</w:t>
      </w:r>
      <w:proofErr w:type="spellEnd"/>
      <w:r w:rsidRPr="00B57298">
        <w:rPr>
          <w:sz w:val="28"/>
          <w:szCs w:val="28"/>
        </w:rPr>
        <w:t xml:space="preserve">», г. Санкт-Петербург) в составе геоинформационной системы </w:t>
      </w:r>
      <w:proofErr w:type="spellStart"/>
      <w:r w:rsidRPr="00B57298">
        <w:rPr>
          <w:sz w:val="28"/>
          <w:szCs w:val="28"/>
        </w:rPr>
        <w:t>Zulu</w:t>
      </w:r>
      <w:proofErr w:type="spellEnd"/>
      <w:r w:rsidRPr="00B57298">
        <w:rPr>
          <w:sz w:val="28"/>
          <w:szCs w:val="28"/>
        </w:rPr>
        <w:t xml:space="preserve"> и </w:t>
      </w:r>
      <w:proofErr w:type="spellStart"/>
      <w:r w:rsidRPr="00B57298">
        <w:rPr>
          <w:sz w:val="28"/>
          <w:szCs w:val="28"/>
        </w:rPr>
        <w:t>расчетного</w:t>
      </w:r>
      <w:proofErr w:type="spellEnd"/>
      <w:r w:rsidRPr="00B57298">
        <w:rPr>
          <w:sz w:val="28"/>
          <w:szCs w:val="28"/>
        </w:rPr>
        <w:t xml:space="preserve"> модуля </w:t>
      </w:r>
      <w:proofErr w:type="spellStart"/>
      <w:r w:rsidRPr="00B57298">
        <w:rPr>
          <w:sz w:val="28"/>
          <w:szCs w:val="28"/>
        </w:rPr>
        <w:t>ZuluThermo</w:t>
      </w:r>
      <w:proofErr w:type="spellEnd"/>
      <w:r w:rsidRPr="00B57298">
        <w:rPr>
          <w:sz w:val="28"/>
          <w:szCs w:val="28"/>
        </w:rPr>
        <w:t>.</w:t>
      </w:r>
    </w:p>
    <w:p w:rsidR="00B57298" w:rsidRPr="00B57298" w:rsidRDefault="00B57298" w:rsidP="00B572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57298">
        <w:rPr>
          <w:sz w:val="28"/>
          <w:szCs w:val="28"/>
        </w:rPr>
        <w:t xml:space="preserve">Электронное моделирование при ликвидации аварийных ситуаций используется дежурным и техническим персоналом </w:t>
      </w:r>
      <w:proofErr w:type="spellStart"/>
      <w:r w:rsidRPr="00B57298">
        <w:rPr>
          <w:sz w:val="28"/>
          <w:szCs w:val="28"/>
        </w:rPr>
        <w:t>ресурсоснабжающей</w:t>
      </w:r>
      <w:proofErr w:type="spellEnd"/>
      <w:r w:rsidRPr="00B57298">
        <w:rPr>
          <w:sz w:val="28"/>
          <w:szCs w:val="28"/>
        </w:rPr>
        <w:t xml:space="preserve"> организации для принятия оптимальных решений по обеспечению теплоснабжения в случае аварийной ситуации. </w:t>
      </w:r>
    </w:p>
    <w:p w:rsidR="00B57298" w:rsidRDefault="00B57298">
      <w:pPr>
        <w:spacing w:line="271" w:lineRule="auto"/>
        <w:jc w:val="both"/>
        <w:sectPr w:rsidR="00B57298">
          <w:pgSz w:w="11906" w:h="16838"/>
          <w:pgMar w:top="567" w:right="707" w:bottom="284" w:left="1134" w:header="0" w:footer="0" w:gutter="0"/>
          <w:cols w:space="720"/>
          <w:formProt w:val="0"/>
          <w:docGrid w:linePitch="360"/>
        </w:sectPr>
      </w:pPr>
    </w:p>
    <w:p w:rsidR="001206AA" w:rsidRDefault="001206AA">
      <w:pPr>
        <w:widowControl w:val="0"/>
        <w:spacing w:line="271" w:lineRule="auto"/>
        <w:rPr>
          <w:b/>
          <w:spacing w:val="2"/>
          <w:sz w:val="28"/>
          <w:szCs w:val="28"/>
        </w:rPr>
      </w:pPr>
    </w:p>
    <w:sectPr w:rsidR="001206AA">
      <w:pgSz w:w="16838" w:h="11906" w:orient="landscape"/>
      <w:pgMar w:top="1134" w:right="820" w:bottom="70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475"/>
    <w:multiLevelType w:val="multilevel"/>
    <w:tmpl w:val="EC669EF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1" w15:restartNumberingAfterBreak="0">
    <w:nsid w:val="18A82274"/>
    <w:multiLevelType w:val="multilevel"/>
    <w:tmpl w:val="037A9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AA"/>
    <w:rsid w:val="001206AA"/>
    <w:rsid w:val="003A3667"/>
    <w:rsid w:val="00490852"/>
    <w:rsid w:val="00820A2A"/>
    <w:rsid w:val="00B5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3B0A"/>
  <w15:docId w15:val="{B42CB483-7677-4A3C-9A90-83054729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3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DE1"/>
    <w:rPr>
      <w:b/>
      <w:bCs/>
    </w:rPr>
  </w:style>
  <w:style w:type="character" w:styleId="a4">
    <w:name w:val="Hyperlink"/>
    <w:basedOn w:val="a0"/>
    <w:unhideWhenUsed/>
    <w:rsid w:val="00661C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583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semiHidden/>
    <w:qFormat/>
    <w:rsid w:val="002E44D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B75EA"/>
    <w:pPr>
      <w:ind w:left="720"/>
      <w:contextualSpacing/>
    </w:pPr>
  </w:style>
  <w:style w:type="paragraph" w:styleId="ac">
    <w:name w:val="No Spacing"/>
    <w:uiPriority w:val="1"/>
    <w:qFormat/>
    <w:rsid w:val="00A816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rsid w:val="00B6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B686-21F1-4A28-A4E7-CC0D2054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начале отопительного периода</vt:lpstr>
    </vt:vector>
  </TitlesOfParts>
  <Company>user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начале отопительного периода</dc:title>
  <dc:subject/>
  <dc:creator>user</dc:creator>
  <dc:description/>
  <cp:lastModifiedBy>Инфраструктура</cp:lastModifiedBy>
  <cp:revision>2</cp:revision>
  <cp:lastPrinted>2025-05-12T10:23:00Z</cp:lastPrinted>
  <dcterms:created xsi:type="dcterms:W3CDTF">2026-02-03T08:47:00Z</dcterms:created>
  <dcterms:modified xsi:type="dcterms:W3CDTF">2026-02-03T08:47:00Z</dcterms:modified>
  <dc:language>ru-RU</dc:language>
</cp:coreProperties>
</file>