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  <w:t>ПРОЕКТ</w:t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  <w:t>ПОСТАНОВЛЕНИЕ</w:t>
        <w:tab/>
        <w:tab/>
        <w:tab/>
        <w:tab/>
        <w:tab/>
        <w:tab/>
        <w:t xml:space="preserve">         КАРАР</w:t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  <w:t xml:space="preserve">№ </w:t>
      </w: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  <w:tab/>
        <w:tab/>
        <w:tab/>
        <w:tab/>
        <w:tab/>
        <w:t xml:space="preserve">                                                 от    .01.2026г.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Об утверждении </w:t>
      </w:r>
      <w:r>
        <w:rPr>
          <w:rFonts w:eastAsia="Calibri" w:cs="Arial" w:ascii="Arial" w:hAnsi="Arial"/>
          <w:sz w:val="24"/>
          <w:szCs w:val="24"/>
          <w:shd w:fill="FFFFFF" w:val="clear"/>
          <w:lang w:eastAsia="zh-CN"/>
        </w:rPr>
        <w:t>Административного регламента предоставления муниципальной услуги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  <w:lang w:eastAsia="zh-CN"/>
        </w:rPr>
        <w:t>по предоставлению мест для захоронения и их учёт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Calibri" w:cs="Arial"/>
          <w:sz w:val="24"/>
          <w:szCs w:val="24"/>
          <w:shd w:fill="FFFFFF" w:val="clear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 «Дым-Тамакское сельское поселение» Ютазинского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1-09-26764 «Об утверждении административных регламентов», Исполнительный комитет Дым-Тамакского сельского поселения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>п о с т а н о в л я е т: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1. Утвердить прилагаемый Административный регламент предоставления муниципальной услуги по предоставлению мест для захоронения и их учёт.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  <w:lang w:eastAsia="zh-CN"/>
        </w:rPr>
        <w:t xml:space="preserve">2. </w:t>
      </w:r>
      <w:r>
        <w:rPr>
          <w:rFonts w:eastAsia="Calibri" w:cs="Arial" w:ascii="Arial" w:hAnsi="Arial"/>
          <w:sz w:val="24"/>
          <w:szCs w:val="24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lang w:eastAsia="zh-CN"/>
        </w:rPr>
        <w:t>4.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5. </w:t>
      </w:r>
      <w:r>
        <w:rPr>
          <w:rFonts w:eastAsia="Calibri" w:cs="Arial" w:ascii="Arial" w:hAnsi="Arial"/>
          <w:sz w:val="24"/>
          <w:szCs w:val="24"/>
          <w:shd w:fill="FFFFFF" w:val="clear"/>
        </w:rPr>
        <w:t>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 </w:t>
      </w:r>
      <w:r>
        <w:rPr>
          <w:rFonts w:eastAsia="Calibri" w:cs="Arial" w:ascii="Arial" w:hAnsi="Arial"/>
          <w:sz w:val="24"/>
          <w:szCs w:val="24"/>
          <w:shd w:fill="FFFFFF" w:val="clear"/>
        </w:rPr>
        <w:t xml:space="preserve">Глава Дым-Тамакского сельского поселения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 xml:space="preserve">   </w:t>
      </w:r>
      <w:r>
        <w:rPr>
          <w:rFonts w:eastAsia="Calibri" w:cs="Arial" w:ascii="Arial" w:hAnsi="Arial"/>
          <w:sz w:val="24"/>
          <w:szCs w:val="24"/>
          <w:shd w:fill="FFFFFF" w:val="clear"/>
        </w:rPr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 xml:space="preserve">   </w:t>
      </w:r>
      <w:r>
        <w:rPr>
          <w:rFonts w:eastAsia="Calibri" w:cs="Arial" w:ascii="Arial" w:hAnsi="Arial"/>
          <w:sz w:val="24"/>
          <w:szCs w:val="24"/>
          <w:shd w:fill="FFFFFF" w:val="clear"/>
        </w:rPr>
        <w:t>Республики Татарстан                                                                          Ж.А.Хуснутдинов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Исп. Кашапова Р.З.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shd w:fill="FFFFFF" w:val="clear"/>
          <w:lang w:eastAsia="zh-CN"/>
        </w:rPr>
      </w:pPr>
      <w:r>
        <w:rPr>
          <w:rFonts w:cs="Arial" w:ascii="Arial" w:hAnsi="Arial"/>
          <w:sz w:val="24"/>
          <w:szCs w:val="24"/>
          <w:shd w:fill="FFFFFF" w:val="clear"/>
          <w:lang w:eastAsia="zh-CN"/>
        </w:rPr>
        <w:t>Телефон 4-52-37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shd w:fill="FFFFFF" w:val="clear"/>
          <w:lang w:eastAsia="zh-CN"/>
        </w:rPr>
      </w:pPr>
      <w:r>
        <w:rPr>
          <w:rFonts w:cs="Arial" w:ascii="Arial" w:hAnsi="Arial"/>
          <w:sz w:val="24"/>
          <w:szCs w:val="24"/>
          <w:shd w:fill="FFFFFF" w:val="clear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shd w:fill="FFFFFF" w:val="clear"/>
          <w:lang w:eastAsia="zh-CN"/>
        </w:rPr>
      </w:pPr>
      <w:r>
        <w:rPr>
          <w:rFonts w:cs="Arial" w:ascii="Arial" w:hAnsi="Arial"/>
          <w:sz w:val="24"/>
          <w:szCs w:val="24"/>
          <w:shd w:fill="FFFFFF" w:val="clear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shd w:fill="FFFFFF" w:val="clear"/>
          <w:lang w:eastAsia="zh-CN"/>
        </w:rPr>
      </w:pPr>
      <w:r>
        <w:rPr>
          <w:rFonts w:cs="Arial" w:ascii="Arial" w:hAnsi="Arial"/>
          <w:sz w:val="24"/>
          <w:szCs w:val="24"/>
          <w:shd w:fill="FFFFFF" w:val="clear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shd w:fill="FFFFFF" w:val="clear"/>
          <w:lang w:eastAsia="zh-CN"/>
        </w:rPr>
      </w:pPr>
      <w:r>
        <w:rPr>
          <w:rFonts w:cs="Arial" w:ascii="Arial" w:hAnsi="Arial"/>
          <w:sz w:val="24"/>
          <w:szCs w:val="24"/>
          <w:shd w:fill="FFFFFF" w:val="clear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shd w:fill="FFFFFF" w:val="clear"/>
          <w:lang w:eastAsia="zh-CN"/>
        </w:rPr>
      </w:pPr>
      <w:r>
        <w:rPr>
          <w:rFonts w:cs="Arial" w:ascii="Arial" w:hAnsi="Arial"/>
          <w:sz w:val="24"/>
          <w:szCs w:val="24"/>
          <w:shd w:fill="FFFFFF" w:val="clear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5102"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 постановлению Исполнительного комитета </w:t>
      </w:r>
      <w:r>
        <w:rPr>
          <w:rFonts w:eastAsia="Calibri" w:cs="Arial" w:ascii="Arial" w:hAnsi="Arial"/>
          <w:sz w:val="24"/>
          <w:szCs w:val="24"/>
          <w:shd w:fill="FFFFFF" w:val="clear"/>
        </w:rPr>
        <w:t>Дым-Тамакского</w:t>
      </w:r>
      <w:r>
        <w:rPr>
          <w:rFonts w:cs="Arial" w:ascii="Arial" w:hAnsi="Arial"/>
          <w:sz w:val="24"/>
          <w:szCs w:val="24"/>
        </w:rPr>
        <w:t xml:space="preserve"> с</w:t>
      </w:r>
      <w:r>
        <w:rPr>
          <w:rFonts w:eastAsia="Calibri" w:cs="Arial" w:ascii="Arial" w:hAnsi="Arial"/>
          <w:sz w:val="24"/>
          <w:szCs w:val="24"/>
          <w:shd w:fill="FFFFFF" w:val="clear"/>
        </w:rPr>
        <w:t xml:space="preserve">ельского поселения Ютазинского муниципального района </w:t>
      </w:r>
    </w:p>
    <w:p>
      <w:pPr>
        <w:pStyle w:val="Normal"/>
        <w:spacing w:lineRule="auto" w:line="240" w:before="0" w:after="0"/>
        <w:ind w:left="5102" w:right="-1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>Республики Татарстан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от «  » января 2026 г. № </w:t>
      </w:r>
    </w:p>
    <w:p>
      <w:pPr>
        <w:pStyle w:val="ConsPlusTitle"/>
        <w:ind w:left="4395"/>
        <w:jc w:val="center"/>
        <w:rPr>
          <w:rFonts w:ascii="Arial" w:hAnsi="Arial" w:cs="Arial"/>
          <w:b w:val="false"/>
          <w:bCs/>
          <w:sz w:val="24"/>
          <w:szCs w:val="24"/>
        </w:rPr>
      </w:pPr>
      <w:r>
        <w:rPr>
          <w:rFonts w:cs="Arial" w:ascii="Arial" w:hAnsi="Arial"/>
          <w:b w:val="false"/>
          <w:bCs/>
          <w:sz w:val="24"/>
          <w:szCs w:val="24"/>
        </w:rPr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услуги по </w:t>
      </w:r>
      <w:bookmarkStart w:id="0" w:name="_Hlk202983295"/>
      <w:r>
        <w:rPr>
          <w:rFonts w:cs="Arial" w:ascii="Arial" w:hAnsi="Arial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_Toc206171363"/>
      <w:r>
        <w:rPr>
          <w:rFonts w:cs="Arial" w:ascii="Arial" w:hAnsi="Arial"/>
          <w:b/>
          <w:bCs/>
          <w:sz w:val="24"/>
          <w:szCs w:val="24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eastAsia="Arial" w:cs="Arial" w:ascii="Arial" w:hAnsi="Arial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</w:rPr>
        <w:t>–</w:t>
      </w:r>
      <w:r>
        <w:rPr>
          <w:rFonts w:eastAsia="Arial" w:cs="Arial" w:ascii="Arial" w:hAnsi="Arial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Муниципальную услугу предоставляет </w:t>
      </w:r>
      <w:r>
        <w:rPr>
          <w:rFonts w:eastAsia="Calibri" w:cs="Arial" w:ascii="Arial" w:hAnsi="Arial"/>
          <w:sz w:val="24"/>
          <w:szCs w:val="24"/>
          <w:shd w:fill="FFFFFF" w:val="clear"/>
        </w:rPr>
        <w:t>Исполнительный комитет Дым-Тамакского сельского поселения Ютазинского муниципального района Республики Татарстан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</w:rPr>
        <w:t xml:space="preserve">усиленной </w:t>
      </w:r>
      <w:r>
        <w:rPr>
          <w:rFonts w:cs="Arial" w:ascii="Arial" w:hAnsi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</w:t>
      </w: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i/>
          <w:i/>
          <w:i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28. 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 </w:t>
      </w:r>
      <w:r>
        <w:rPr>
          <w:rFonts w:eastAsia="Calibri" w:cs="Arial" w:ascii="Arial" w:hAnsi="Arial"/>
          <w:sz w:val="24"/>
          <w:szCs w:val="24"/>
          <w:shd w:fill="FFFFFF" w:val="clear"/>
        </w:rPr>
        <w:t>Исполнительного комитета Дым-Тамакского сельского поселения Ютазинского муниципального района Республики Татарстан «Об утверждении Порядка сбора и анализа обратной связи от внутренних и внешних клиентов муниципального образования «Дым-Тамакское сельское поселение» Ютазинского муниципального района Республики Татарстан».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</w:rPr>
        <w:t xml:space="preserve"> оформление </w:t>
      </w:r>
      <w:r>
        <w:rPr>
          <w:rFonts w:cs="Arial" w:ascii="Arial" w:hAnsi="Arial"/>
          <w:sz w:val="24"/>
          <w:szCs w:val="24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r>
        <w:fldChar w:fldCharType="begin"/>
      </w:r>
      <w:r>
        <w:rPr>
          <w:rStyle w:val="Style"/>
          <w:sz w:val="24"/>
          <w:szCs w:val="24"/>
          <w:rFonts w:cs="Arial" w:ascii="Arial" w:hAnsi="Arial"/>
        </w:rPr>
        <w:instrText xml:space="preserve"> HYPERLINK "https://lkuv.gosuslugi.ru/paip-portal/" \l "/inquiries/card/f2d2a2ca-4c5a-4478-8239-fff357f90b65"</w:instrText>
      </w:r>
      <w:r>
        <w:rPr>
          <w:rStyle w:val="Style"/>
          <w:sz w:val="24"/>
          <w:szCs w:val="24"/>
          <w:rFonts w:cs="Arial" w:ascii="Arial" w:hAnsi="Arial"/>
        </w:rPr>
        <w:fldChar w:fldCharType="separate"/>
      </w:r>
      <w:r>
        <w:rPr>
          <w:rStyle w:val="Style"/>
          <w:rFonts w:cs="Arial" w:ascii="Arial" w:hAnsi="Arial"/>
          <w:sz w:val="24"/>
          <w:szCs w:val="24"/>
        </w:rPr>
        <w:t>https://lkuv.gosuslugi.ru/paip-portal/#/inquiries/card/f2d2a2ca-4c5a-4478-8239-fff357f90b65</w:t>
      </w:r>
      <w:r>
        <w:rPr>
          <w:rStyle w:val="Style"/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r>
        <w:fldChar w:fldCharType="begin"/>
      </w:r>
      <w:r>
        <w:rPr>
          <w:rStyle w:val="Style"/>
          <w:sz w:val="24"/>
          <w:szCs w:val="24"/>
          <w:rFonts w:cs="Arial" w:ascii="Arial" w:hAnsi="Arial"/>
        </w:rPr>
        <w:instrText xml:space="preserve"> HYPERLINK "https://lkuv.gosuslugi.ru/paip-portal/" \l "/inquiries/card/dd08b437-d9cd-11eb-87f2-6dd2d98a56b1"</w:instrText>
      </w:r>
      <w:r>
        <w:rPr>
          <w:rStyle w:val="Style"/>
          <w:sz w:val="24"/>
          <w:szCs w:val="24"/>
          <w:rFonts w:cs="Arial" w:ascii="Arial" w:hAnsi="Arial"/>
        </w:rPr>
        <w:fldChar w:fldCharType="separate"/>
      </w:r>
      <w:r>
        <w:rPr>
          <w:rStyle w:val="Style"/>
          <w:rFonts w:cs="Arial" w:ascii="Arial" w:hAnsi="Arial"/>
          <w:sz w:val="24"/>
          <w:szCs w:val="24"/>
        </w:rPr>
        <w:t>https://lkuv.gosuslugi.ru/paip-portal/#/inquiries/card/dd08b437-d9cd-11eb-87f2-6dd2d98a56b1</w:t>
      </w:r>
      <w:r>
        <w:rPr>
          <w:rStyle w:val="Style"/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r>
        <w:fldChar w:fldCharType="begin"/>
      </w:r>
      <w:r>
        <w:rPr>
          <w:rStyle w:val="Style"/>
          <w:sz w:val="24"/>
          <w:szCs w:val="24"/>
          <w:rFonts w:cs="Arial" w:ascii="Arial" w:hAnsi="Arial"/>
        </w:rPr>
        <w:instrText xml:space="preserve"> HYPERLINK "https://lkuv.gosuslugi.ru/paip-portal/" \l "/inquiries/card/63780a7c-ff80-11eb-ba23-33408f10c8dc"</w:instrText>
      </w:r>
      <w:r>
        <w:rPr>
          <w:rStyle w:val="Style"/>
          <w:sz w:val="24"/>
          <w:szCs w:val="24"/>
          <w:rFonts w:cs="Arial" w:ascii="Arial" w:hAnsi="Arial"/>
        </w:rPr>
        <w:fldChar w:fldCharType="separate"/>
      </w:r>
      <w:r>
        <w:rPr>
          <w:rStyle w:val="Style"/>
          <w:rFonts w:cs="Arial" w:ascii="Arial" w:hAnsi="Arial"/>
          <w:sz w:val="24"/>
          <w:szCs w:val="24"/>
        </w:rPr>
        <w:t>https://lkuv.gosuslugi.ru/paip-portal/#/inquiries/card/63780a7c-ff80-11eb-ba23-33408f10c8dc</w:t>
      </w:r>
      <w:r>
        <w:rPr>
          <w:rStyle w:val="Style"/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 xml:space="preserve">,  </w:t>
      </w:r>
      <w:r>
        <w:fldChar w:fldCharType="begin"/>
      </w:r>
      <w:r>
        <w:rPr>
          <w:rStyle w:val="Style"/>
          <w:sz w:val="24"/>
          <w:szCs w:val="24"/>
          <w:rFonts w:cs="Arial" w:ascii="Arial" w:hAnsi="Arial"/>
        </w:rPr>
        <w:instrText xml:space="preserve"> HYPERLINK "https://lkuv.gosuslugi.ru/paip-portal/" \l "/inquiries/card/63780a85-ff80-11eb-ba23-33408f10c8dc"</w:instrText>
      </w:r>
      <w:r>
        <w:rPr>
          <w:rStyle w:val="Style"/>
          <w:sz w:val="24"/>
          <w:szCs w:val="24"/>
          <w:rFonts w:cs="Arial" w:ascii="Arial" w:hAnsi="Arial"/>
        </w:rPr>
        <w:fldChar w:fldCharType="separate"/>
      </w:r>
      <w:r>
        <w:rPr>
          <w:rStyle w:val="Style"/>
          <w:rFonts w:cs="Arial" w:ascii="Arial" w:hAnsi="Arial"/>
          <w:sz w:val="24"/>
          <w:szCs w:val="24"/>
        </w:rPr>
        <w:t>https://lkuv.gosuslugi.ru/paip-portal/#/inquiries/card/63780a85-ff80-11eb-ba23-33408f10c8dc</w:t>
      </w:r>
      <w:r>
        <w:rPr>
          <w:rStyle w:val="Style"/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 xml:space="preserve">, </w:t>
      </w:r>
      <w:r>
        <w:fldChar w:fldCharType="begin"/>
      </w:r>
      <w:r>
        <w:rPr>
          <w:rStyle w:val="Style"/>
          <w:sz w:val="24"/>
          <w:szCs w:val="24"/>
          <w:rFonts w:cs="Arial" w:ascii="Arial" w:hAnsi="Arial"/>
        </w:rPr>
        <w:instrText xml:space="preserve"> HYPERLINK "https://lkuv.gosuslugi.ru/paip-portal/" \l "/inquiries/card/63780a87-ff80-11eb-ba23-33408f10c8dc"</w:instrText>
      </w:r>
      <w:r>
        <w:rPr>
          <w:rStyle w:val="Style"/>
          <w:sz w:val="24"/>
          <w:szCs w:val="24"/>
          <w:rFonts w:cs="Arial" w:ascii="Arial" w:hAnsi="Arial"/>
        </w:rPr>
        <w:fldChar w:fldCharType="separate"/>
      </w:r>
      <w:r>
        <w:rPr>
          <w:rStyle w:val="Style"/>
          <w:rFonts w:cs="Arial" w:ascii="Arial" w:hAnsi="Arial"/>
          <w:sz w:val="24"/>
          <w:szCs w:val="24"/>
        </w:rPr>
        <w:t>https://lkuv.gosuslugi.ru/paip-portal/#/inquiries/card/63780a87-ff80-11eb-ba23-33408f10c8dc</w:t>
      </w:r>
      <w:r>
        <w:rPr>
          <w:rStyle w:val="Style"/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r>
        <w:fldChar w:fldCharType="begin"/>
      </w:r>
      <w:r>
        <w:rPr>
          <w:rStyle w:val="Style"/>
          <w:sz w:val="24"/>
          <w:szCs w:val="24"/>
          <w:rFonts w:cs="Arial" w:ascii="Arial" w:hAnsi="Arial"/>
        </w:rPr>
        <w:instrText xml:space="preserve"> HYPERLINK "https://lkuv.gosuslugi.ru/paip-portal/" \l "/inquiries/card/63780a7c-ff80-11eb-ba23-33408f10c8dc"</w:instrText>
      </w:r>
      <w:r>
        <w:rPr>
          <w:rStyle w:val="Style"/>
          <w:sz w:val="24"/>
          <w:szCs w:val="24"/>
          <w:rFonts w:cs="Arial" w:ascii="Arial" w:hAnsi="Arial"/>
        </w:rPr>
        <w:fldChar w:fldCharType="separate"/>
      </w:r>
      <w:r>
        <w:rPr>
          <w:rStyle w:val="Style"/>
          <w:rFonts w:cs="Arial" w:ascii="Arial" w:hAnsi="Arial"/>
          <w:sz w:val="24"/>
          <w:szCs w:val="24"/>
        </w:rPr>
        <w:t>https://lkuv.gosuslugi.ru/paip-portal/#/inquiries/card/63780a7c-ff80-11eb-ba23-33408f10c8dc</w:t>
      </w:r>
      <w:r>
        <w:rPr>
          <w:rStyle w:val="Style"/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>,</w:t>
      </w:r>
      <w:r>
        <w:fldChar w:fldCharType="begin"/>
      </w:r>
      <w:r>
        <w:rPr>
          <w:rStyle w:val="Style"/>
          <w:sz w:val="24"/>
          <w:szCs w:val="24"/>
          <w:rFonts w:cs="Arial" w:ascii="Arial" w:hAnsi="Arial"/>
        </w:rPr>
        <w:instrText xml:space="preserve"> HYPERLINK "https://lkuv.gosuslugi.ru/paip-portal/" \l "/inquiries/card/63780a85-ff80-11eb-ba23-33408f10c8dc"</w:instrText>
      </w:r>
      <w:r>
        <w:rPr>
          <w:rStyle w:val="Style"/>
          <w:sz w:val="24"/>
          <w:szCs w:val="24"/>
          <w:rFonts w:cs="Arial" w:ascii="Arial" w:hAnsi="Arial"/>
        </w:rPr>
        <w:fldChar w:fldCharType="separate"/>
      </w:r>
      <w:r>
        <w:rPr>
          <w:rStyle w:val="Style"/>
          <w:rFonts w:cs="Arial" w:ascii="Arial" w:hAnsi="Arial"/>
          <w:sz w:val="24"/>
          <w:szCs w:val="24"/>
        </w:rPr>
        <w:t>https://lkuv.gosuslugi.ru/paip-portal/#/inquiries/card/63780a85-ff80-11eb-ba23-33408f10c8dc</w:t>
      </w:r>
      <w:r>
        <w:rPr>
          <w:rStyle w:val="Style"/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 xml:space="preserve">, </w:t>
      </w:r>
      <w:r>
        <w:fldChar w:fldCharType="begin"/>
      </w:r>
      <w:r>
        <w:rPr>
          <w:rStyle w:val="Style"/>
          <w:sz w:val="24"/>
          <w:szCs w:val="24"/>
          <w:rFonts w:cs="Arial" w:ascii="Arial" w:hAnsi="Arial"/>
        </w:rPr>
        <w:instrText xml:space="preserve"> HYPERLINK "https://lkuv.gosuslugi.ru/paip-portal/" \l "/inquiries/card/63780a87-ff80-11eb-ba23-33408f10c8dc"</w:instrText>
      </w:r>
      <w:r>
        <w:rPr>
          <w:rStyle w:val="Style"/>
          <w:sz w:val="24"/>
          <w:szCs w:val="24"/>
          <w:rFonts w:cs="Arial" w:ascii="Arial" w:hAnsi="Arial"/>
        </w:rPr>
        <w:fldChar w:fldCharType="separate"/>
      </w:r>
      <w:r>
        <w:rPr>
          <w:rStyle w:val="Style"/>
          <w:rFonts w:cs="Arial" w:ascii="Arial" w:hAnsi="Arial"/>
          <w:sz w:val="24"/>
          <w:szCs w:val="24"/>
        </w:rPr>
        <w:t>https://lkuv.gosuslugi.ru/paip-portal/#/inquiries/card/63780a87-ff80-11eb-ba23-33408f10c8dc</w:t>
      </w:r>
      <w:r>
        <w:rPr>
          <w:rStyle w:val="Style"/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r>
        <w:fldChar w:fldCharType="begin"/>
      </w:r>
      <w:r>
        <w:rPr>
          <w:rStyle w:val="Style"/>
          <w:sz w:val="24"/>
          <w:szCs w:val="24"/>
          <w:rFonts w:cs="Arial" w:ascii="Arial" w:hAnsi="Arial"/>
        </w:rPr>
        <w:instrText xml:space="preserve"> HYPERLINK "https://lkuv.gosuslugi.ru/paip-portal/" \l "/inquiries/card/637a0579-ff80-11eb-ba23-33408f10c8dc"</w:instrText>
      </w:r>
      <w:r>
        <w:rPr>
          <w:rStyle w:val="Style"/>
          <w:sz w:val="24"/>
          <w:szCs w:val="24"/>
          <w:rFonts w:cs="Arial" w:ascii="Arial" w:hAnsi="Arial"/>
        </w:rPr>
        <w:fldChar w:fldCharType="separate"/>
      </w:r>
      <w:r>
        <w:rPr>
          <w:rStyle w:val="Style"/>
          <w:rFonts w:cs="Arial" w:ascii="Arial" w:hAnsi="Arial"/>
          <w:sz w:val="24"/>
          <w:szCs w:val="24"/>
        </w:rPr>
        <w:t>https://lkuv.gosuslugi.ru/paip-portal/#/inquiries/card/637a0579-ff80-11eb-ba23-33408f10c8dc</w:t>
      </w:r>
      <w:r>
        <w:rPr>
          <w:rStyle w:val="Style"/>
          <w:sz w:val="24"/>
          <w:szCs w:val="24"/>
          <w:rFonts w:cs="Arial" w:ascii="Arial" w:hAnsi="Arial"/>
        </w:rPr>
        <w:fldChar w:fldCharType="end"/>
      </w:r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  <w:bookmarkEnd w:id="2"/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</w:t>
      </w:r>
      <w:bookmarkStart w:id="3" w:name="undefined_Копия_1"/>
      <w:bookmarkEnd w:id="3"/>
      <w:r>
        <w:rPr>
          <w:rFonts w:cs="Arial" w:ascii="Arial" w:hAnsi="Arial"/>
          <w:sz w:val="24"/>
          <w:szCs w:val="24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://uslugi.tatarsta</w:t>
      </w:r>
      <w:r>
        <w:rPr>
          <w:rFonts w:cs="Arial" w:ascii="Arial" w:hAnsi="Arial"/>
          <w:spacing w:val="1"/>
          <w:sz w:val="24"/>
          <w:szCs w:val="24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Исполнительный комитет Дым-Тамакского сельского поселения</w:t>
      </w:r>
      <w:r>
        <w:rPr>
          <w:rFonts w:cs="Arial" w:ascii="Arial" w:hAnsi="Arial"/>
          <w:i/>
          <w:iCs/>
          <w:spacing w:val="1"/>
          <w:sz w:val="24"/>
          <w:szCs w:val="24"/>
        </w:rPr>
        <w:t xml:space="preserve"> – </w:t>
      </w:r>
      <w:r>
        <w:rPr>
          <w:rFonts w:cs="Arial" w:ascii="Arial" w:hAnsi="Arial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4"/>
        <w:gridCol w:w="2268"/>
        <w:gridCol w:w="7090"/>
      </w:tblGrid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5" w:name="undefined_Копия_3"/>
      <w:bookmarkStart w:id="6" w:name="undefined_Копия_3"/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5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19"/>
        <w:gridCol w:w="3403"/>
        <w:gridCol w:w="283"/>
        <w:gridCol w:w="2556"/>
        <w:gridCol w:w="234"/>
        <w:gridCol w:w="1267"/>
        <w:gridCol w:w="233"/>
        <w:gridCol w:w="1096"/>
      </w:tblGrid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ind w:hanging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ind w:hanging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6</w:t>
      </w:r>
      <w:bookmarkStart w:id="7" w:name="undefined_Копия_10"/>
      <w:bookmarkEnd w:id="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bookmarkStart w:id="8" w:name="undefined_Копия_11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родственное</w:t>
      </w:r>
      <w:bookmarkEnd w:id="8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 xml:space="preserve">, </w:t>
      </w:r>
      <w:bookmarkStart w:id="9" w:name="undefined_Копия_12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семейное(родовое)</w:t>
      </w:r>
      <w:bookmarkEnd w:id="9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400"/>
        <w:gridCol w:w="286"/>
        <w:gridCol w:w="2550"/>
        <w:gridCol w:w="238"/>
        <w:gridCol w:w="1264"/>
        <w:gridCol w:w="237"/>
        <w:gridCol w:w="1380"/>
      </w:tblGrid>
      <w:tr>
        <w:trPr/>
        <w:tc>
          <w:tcPr>
            <w:tcW w:w="34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4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Start w:id="10" w:name="undefined_Копия_13"/>
      <w:bookmarkEnd w:id="1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bookmarkStart w:id="11" w:name="undefined_Копия_3"/>
      <w:r>
        <w:rPr>
          <w:rFonts w:cs="Arial" w:ascii="Arial" w:hAnsi="Arial"/>
          <w:sz w:val="24"/>
          <w:szCs w:val="24"/>
        </w:rPr>
        <w:t>КОНЕЦ ФОРМЫ</w:t>
      </w:r>
      <w:bookmarkEnd w:id="1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bookmarkStart w:id="12" w:name="undefined_Копия_14"/>
      <w:bookmarkEnd w:id="12"/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</w:t>
      </w:r>
      <w:bookmarkStart w:id="13" w:name="undefined_Копия_15"/>
      <w:bookmarkEnd w:id="13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  <w:bookmarkStart w:id="14" w:name="undefined_Копия_16"/>
      <w:bookmarkStart w:id="15" w:name="undefined_Копия_16"/>
      <w:bookmarkEnd w:id="1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bookmarkStart w:id="16" w:name="undefined_Копия_17"/>
      <w:bookmarkEnd w:id="16"/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i/>
                <w:i/>
                <w:iCs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</w:rPr>
            </w:pPr>
            <w:r>
              <w:rPr>
                <w:rFonts w:eastAsia="Yu Mincho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17" w:name="undefined_Копия_18"/>
      <w:bookmarkEnd w:id="17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18" w:name="undefined_Копия_19"/>
      <w:r>
        <w:rPr>
          <w:rFonts w:cs="Arial" w:ascii="Arial" w:hAnsi="Arial"/>
          <w:sz w:val="24"/>
          <w:szCs w:val="24"/>
        </w:rPr>
        <w:t>Приложение № 7.1</w:t>
      </w:r>
      <w:bookmarkStart w:id="19" w:name="undefined_Копия_20"/>
      <w:bookmarkEnd w:id="18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1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7.2</w:t>
      </w:r>
      <w:bookmarkStart w:id="20" w:name="undefined_Копия_21"/>
      <w:bookmarkEnd w:id="20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400"/>
        <w:gridCol w:w="286"/>
        <w:gridCol w:w="2550"/>
        <w:gridCol w:w="238"/>
        <w:gridCol w:w="1264"/>
        <w:gridCol w:w="237"/>
        <w:gridCol w:w="1380"/>
      </w:tblGrid>
      <w:tr>
        <w:trPr/>
        <w:tc>
          <w:tcPr>
            <w:tcW w:w="34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4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21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21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2" w:name="undefined_Копия_23"/>
      <w:r>
        <w:rPr>
          <w:rFonts w:cs="Arial" w:ascii="Arial" w:hAnsi="Arial"/>
          <w:sz w:val="24"/>
          <w:szCs w:val="24"/>
        </w:rPr>
        <w:t>Приложение № 8</w:t>
      </w:r>
      <w:bookmarkStart w:id="23" w:name="undefined_Копия_24"/>
      <w:bookmarkEnd w:id="22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ED7D31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23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9</w:t>
      </w:r>
      <w:bookmarkStart w:id="24" w:name="undefined_Копия_25"/>
      <w:bookmarkEnd w:id="24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25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25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6" w:name="undefined_Копия_27"/>
      <w:r>
        <w:rPr>
          <w:rFonts w:cs="Arial" w:ascii="Arial" w:hAnsi="Arial"/>
          <w:sz w:val="24"/>
          <w:szCs w:val="24"/>
        </w:rPr>
        <w:t>Приложение № 9.1</w:t>
      </w:r>
      <w:bookmarkStart w:id="27" w:name="undefined_Копия_28"/>
      <w:bookmarkEnd w:id="2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266"/>
        <w:gridCol w:w="7230"/>
      </w:tblGrid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bookmarkStart w:id="28" w:name="undefined_Копия_29"/>
      <w:bookmarkEnd w:id="27"/>
      <w:bookmarkEnd w:id="28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7"/>
        <w:gridCol w:w="2107"/>
        <w:gridCol w:w="284"/>
        <w:gridCol w:w="1839"/>
        <w:gridCol w:w="242"/>
        <w:gridCol w:w="3026"/>
        <w:gridCol w:w="279"/>
        <w:gridCol w:w="1422"/>
      </w:tblGrid>
      <w:tr>
        <w:trPr/>
        <w:tc>
          <w:tcPr>
            <w:tcW w:w="2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29" w:name="undefined_Копия_30"/>
      <w:bookmarkEnd w:id="29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0" w:name="undefined_Копия_31"/>
      <w:r>
        <w:rPr>
          <w:rFonts w:cs="Arial" w:ascii="Arial" w:hAnsi="Arial"/>
          <w:sz w:val="24"/>
          <w:szCs w:val="24"/>
        </w:rPr>
        <w:t>Приложение № 10</w:t>
      </w:r>
      <w:bookmarkStart w:id="31" w:name="undefined_Копия_32"/>
      <w:bookmarkEnd w:id="30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bookmarkStart w:id="32" w:name="undefined_Копия_33"/>
            <w:bookmarkEnd w:id="31"/>
            <w:bookmarkEnd w:id="32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33" w:name="undefined_Копия_33_Копия_1"/>
            <w:bookmarkStart w:id="34" w:name="undefined_Копия_34"/>
            <w:bookmarkEnd w:id="33"/>
            <w:bookmarkEnd w:id="34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bookmarkStart w:id="35" w:name="undefined_Копия_34_Копия_1"/>
            <w:bookmarkStart w:id="36" w:name="undefined_Копия_35"/>
            <w:bookmarkEnd w:id="35"/>
            <w:bookmarkEnd w:id="36"/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37" w:name="undefined_Копия_35_Копия_1"/>
            <w:bookmarkStart w:id="38" w:name="undefined_Копия_36"/>
            <w:bookmarkEnd w:id="37"/>
            <w:bookmarkEnd w:id="38"/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39" w:name="undefined_Копия_36_Копия_1"/>
            <w:bookmarkEnd w:id="39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77"/>
        <w:gridCol w:w="814"/>
        <w:gridCol w:w="394"/>
        <w:gridCol w:w="2753"/>
        <w:gridCol w:w="402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683"/>
        <w:gridCol w:w="286"/>
        <w:gridCol w:w="2267"/>
        <w:gridCol w:w="234"/>
        <w:gridCol w:w="2885"/>
      </w:tblGrid>
      <w:tr>
        <w:trPr/>
        <w:tc>
          <w:tcPr>
            <w:tcW w:w="36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160"/>
        <w:ind w:firstLine="708" w:left="566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могилы 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Тип захоронения по специализации 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Тип захоронения по конфессии 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794"/>
        <w:gridCol w:w="391"/>
        <w:gridCol w:w="2760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b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3"/>
        <w:gridCol w:w="5662"/>
        <w:gridCol w:w="283"/>
        <w:gridCol w:w="2128"/>
        <w:gridCol w:w="280"/>
        <w:gridCol w:w="1418"/>
      </w:tblGrid>
      <w:tr>
        <w:trPr/>
        <w:tc>
          <w:tcPr>
            <w:tcW w:w="2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791"/>
        <w:gridCol w:w="393"/>
        <w:gridCol w:w="2757"/>
        <w:gridCol w:w="396"/>
        <w:gridCol w:w="2019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567" w:footer="0" w:bottom="567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80"/>
        <w:gridCol w:w="1406"/>
        <w:gridCol w:w="242"/>
        <w:gridCol w:w="1382"/>
        <w:gridCol w:w="245"/>
        <w:gridCol w:w="1674"/>
        <w:gridCol w:w="243"/>
        <w:gridCol w:w="1661"/>
        <w:gridCol w:w="236"/>
        <w:gridCol w:w="1998"/>
        <w:gridCol w:w="242"/>
        <w:gridCol w:w="1442"/>
        <w:gridCol w:w="229"/>
        <w:gridCol w:w="967"/>
        <w:gridCol w:w="240"/>
        <w:gridCol w:w="1869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hanging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hanging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eastAsia="Consolas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  <w:tab/>
        <w:tab/>
        <w:tab/>
        <w:tab/>
      </w:r>
      <w:r>
        <w:rPr>
          <w:rFonts w:eastAsia="Consolas" w:cs="Arial" w:ascii="Arial" w:hAnsi="Arial"/>
          <w:b/>
          <w:bCs/>
          <w:sz w:val="24"/>
          <w:szCs w:val="24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  <w14:ligatures w14:val="none"/>
        </w:rPr>
      </w:pPr>
      <w:r>
        <w:rPr>
          <w:rFonts w:eastAsia="Calibri" w:cs="Arial" w:ascii="Arial" w:hAnsi="Arial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swiss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12"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3F4F06-29E3-46A3-B835-82648A0A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LibreOffice/24.8.4.2$Linux_X86_64 LibreOffice_project/480$Build-2</Application>
  <AppVersion>15.0000</AppVersion>
  <Pages>48</Pages>
  <Words>8835</Words>
  <Characters>68140</Characters>
  <CharactersWithSpaces>76590</CharactersWithSpaces>
  <Paragraphs>1165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2026-01-28T08:53:00Z</dcterms:created>
  <dc:creator>ВЛАД Smin</dc:creator>
  <dc:description/>
  <dc:language>ru-RU</dc:language>
  <cp:lastModifiedBy/>
  <dcterms:modified xsi:type="dcterms:W3CDTF">2026-02-13T14:58:21Z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