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1"/>
        <w:ind w:hanging="0"/>
        <w:jc w:val="right"/>
        <w:rPr>
          <w:rFonts w:ascii="Times New Roman" w:hAnsi="Times New Roman" w:eastAsia="" w:cs="Times New Roman" w:eastAsiaTheme="minorEastAsia"/>
          <w:bCs/>
          <w:sz w:val="28"/>
          <w:szCs w:val="28"/>
          <w:shd w:fill="FFFFFF" w:val="clear"/>
          <w:lang w:eastAsia="zh-CN"/>
        </w:rPr>
      </w:pPr>
      <w:r>
        <w:rPr>
          <w:rFonts w:eastAsia="" w:cs="Times New Roman" w:eastAsiaTheme="minorEastAsia" w:ascii="Times New Roman" w:hAnsi="Times New Roman"/>
          <w:bCs/>
          <w:sz w:val="28"/>
          <w:szCs w:val="28"/>
          <w:shd w:fill="FFFFFF" w:val="clear"/>
          <w:lang w:eastAsia="zh-CN"/>
        </w:rPr>
        <w:t>ПРОЕКТ</w:t>
      </w:r>
    </w:p>
    <w:p>
      <w:pPr>
        <w:pStyle w:val="ConsPlusNormal1"/>
        <w:ind w:hanging="0"/>
        <w:jc w:val="right"/>
        <w:rPr>
          <w:rFonts w:ascii="Times New Roman" w:hAnsi="Times New Roman" w:eastAsia="" w:cs="Times New Roman" w:eastAsiaTheme="minorEastAsia"/>
          <w:bCs/>
          <w:sz w:val="28"/>
          <w:szCs w:val="28"/>
          <w:shd w:fill="FFFFFF" w:val="clear"/>
          <w:lang w:eastAsia="zh-CN"/>
        </w:rPr>
      </w:pPr>
      <w:r>
        <w:rPr>
          <w:rFonts w:eastAsia="" w:cs="Times New Roman" w:eastAsiaTheme="minorEastAsia" w:ascii="Times New Roman" w:hAnsi="Times New Roman"/>
          <w:bCs/>
          <w:sz w:val="28"/>
          <w:szCs w:val="28"/>
          <w:shd w:fill="FFFFFF" w:val="clear"/>
          <w:lang w:eastAsia="zh-CN"/>
        </w:rPr>
      </w:r>
    </w:p>
    <w:p>
      <w:pPr>
        <w:pStyle w:val="ConsPlusNormal1"/>
        <w:ind w:hanging="0"/>
        <w:jc w:val="right"/>
        <w:rPr>
          <w:rFonts w:ascii="Times New Roman" w:hAnsi="Times New Roman" w:eastAsia="" w:cs="Times New Roman" w:eastAsiaTheme="minorEastAsia"/>
          <w:bCs/>
          <w:sz w:val="28"/>
          <w:szCs w:val="28"/>
          <w:shd w:fill="FFFFFF" w:val="clear"/>
          <w:lang w:eastAsia="zh-CN"/>
        </w:rPr>
      </w:pPr>
      <w:r>
        <w:rPr>
          <w:rFonts w:eastAsia="" w:cs="Times New Roman" w:eastAsiaTheme="minorEastAsia" w:ascii="Times New Roman" w:hAnsi="Times New Roman"/>
          <w:bCs/>
          <w:sz w:val="28"/>
          <w:szCs w:val="28"/>
          <w:shd w:fill="FFFFFF" w:val="clear"/>
          <w:lang w:eastAsia="zh-CN"/>
        </w:rPr>
      </w:r>
    </w:p>
    <w:p>
      <w:pPr>
        <w:pStyle w:val="ConsPlusNormal1"/>
        <w:ind w:hanging="0"/>
        <w:jc w:val="right"/>
        <w:rPr>
          <w:rFonts w:ascii="Times New Roman" w:hAnsi="Times New Roman" w:eastAsia="" w:cs="Times New Roman" w:eastAsiaTheme="minorEastAsia"/>
          <w:bCs/>
          <w:sz w:val="28"/>
          <w:szCs w:val="28"/>
          <w:shd w:fill="FFFFFF" w:val="clear"/>
          <w:lang w:eastAsia="zh-CN"/>
        </w:rPr>
      </w:pPr>
      <w:r>
        <w:rPr>
          <w:rFonts w:eastAsia="" w:cs="Times New Roman" w:eastAsiaTheme="minorEastAsia" w:ascii="Times New Roman" w:hAnsi="Times New Roman"/>
          <w:bCs/>
          <w:sz w:val="28"/>
          <w:szCs w:val="28"/>
          <w:shd w:fill="FFFFFF" w:val="clear"/>
          <w:lang w:eastAsia="zh-CN"/>
        </w:rPr>
      </w:r>
    </w:p>
    <w:p>
      <w:pPr>
        <w:pStyle w:val="ConsPlusNormal1"/>
        <w:ind w:hanging="0"/>
        <w:jc w:val="right"/>
        <w:rPr>
          <w:rFonts w:ascii="Times New Roman" w:hAnsi="Times New Roman" w:eastAsia="" w:cs="Times New Roman" w:eastAsiaTheme="minorEastAsia"/>
          <w:bCs/>
          <w:sz w:val="28"/>
          <w:szCs w:val="28"/>
          <w:shd w:fill="FFFFFF" w:val="clear"/>
          <w:lang w:eastAsia="zh-CN"/>
        </w:rPr>
      </w:pPr>
      <w:r>
        <w:rPr>
          <w:rFonts w:eastAsia="" w:cs="Times New Roman" w:eastAsiaTheme="minorEastAsia" w:ascii="Times New Roman" w:hAnsi="Times New Roman"/>
          <w:bCs/>
          <w:sz w:val="28"/>
          <w:szCs w:val="28"/>
          <w:shd w:fill="FFFFFF" w:val="clear"/>
          <w:lang w:eastAsia="zh-CN"/>
        </w:rPr>
      </w:r>
    </w:p>
    <w:p>
      <w:pPr>
        <w:pStyle w:val="ConsPlusNormal1"/>
        <w:ind w:hanging="0"/>
        <w:jc w:val="right"/>
        <w:rPr>
          <w:rFonts w:ascii="Times New Roman" w:hAnsi="Times New Roman" w:eastAsia="" w:cs="Times New Roman" w:eastAsiaTheme="minorEastAsia"/>
          <w:bCs/>
          <w:sz w:val="28"/>
          <w:szCs w:val="28"/>
          <w:shd w:fill="FFFFFF" w:val="clear"/>
          <w:lang w:eastAsia="zh-CN"/>
        </w:rPr>
      </w:pPr>
      <w:r>
        <w:rPr>
          <w:rFonts w:eastAsia="" w:cs="Times New Roman" w:eastAsiaTheme="minorEastAsia" w:ascii="Times New Roman" w:hAnsi="Times New Roman"/>
          <w:bCs/>
          <w:sz w:val="28"/>
          <w:szCs w:val="28"/>
          <w:shd w:fill="FFFFFF" w:val="clear"/>
          <w:lang w:eastAsia="zh-CN"/>
        </w:rPr>
      </w:r>
    </w:p>
    <w:p>
      <w:pPr>
        <w:pStyle w:val="ConsPlusNormal1"/>
        <w:ind w:hanging="0"/>
        <w:jc w:val="right"/>
        <w:rPr>
          <w:rFonts w:ascii="Times New Roman" w:hAnsi="Times New Roman" w:eastAsia="" w:cs="Times New Roman" w:eastAsiaTheme="minorEastAsia"/>
          <w:bCs/>
          <w:sz w:val="28"/>
          <w:szCs w:val="28"/>
          <w:shd w:fill="FFFFFF" w:val="clear"/>
          <w:lang w:eastAsia="zh-CN"/>
        </w:rPr>
      </w:pPr>
      <w:r>
        <w:rPr>
          <w:rFonts w:eastAsia="" w:cs="Times New Roman" w:eastAsiaTheme="minorEastAsia" w:ascii="Times New Roman" w:hAnsi="Times New Roman"/>
          <w:bCs/>
          <w:sz w:val="28"/>
          <w:szCs w:val="28"/>
          <w:shd w:fill="FFFFFF" w:val="clear"/>
          <w:lang w:eastAsia="zh-CN"/>
        </w:rPr>
      </w:r>
    </w:p>
    <w:p>
      <w:pPr>
        <w:pStyle w:val="ConsPlusNormal1"/>
        <w:ind w:hanging="0"/>
        <w:jc w:val="right"/>
        <w:rPr>
          <w:rFonts w:ascii="Times New Roman" w:hAnsi="Times New Roman" w:eastAsia="" w:cs="Times New Roman" w:eastAsiaTheme="minorEastAsia"/>
          <w:bCs/>
          <w:sz w:val="28"/>
          <w:szCs w:val="28"/>
          <w:shd w:fill="FFFFFF" w:val="clear"/>
          <w:lang w:eastAsia="zh-CN"/>
        </w:rPr>
      </w:pPr>
      <w:r>
        <w:rPr>
          <w:rFonts w:eastAsia="" w:cs="Times New Roman" w:eastAsiaTheme="minorEastAsia" w:ascii="Times New Roman" w:hAnsi="Times New Roman"/>
          <w:bCs/>
          <w:sz w:val="28"/>
          <w:szCs w:val="28"/>
          <w:shd w:fill="FFFFFF" w:val="clear"/>
          <w:lang w:eastAsia="zh-CN"/>
        </w:rPr>
      </w:r>
    </w:p>
    <w:p>
      <w:pPr>
        <w:pStyle w:val="ConsPlusNormal1"/>
        <w:ind w:hanging="0"/>
        <w:jc w:val="right"/>
        <w:rPr>
          <w:rFonts w:ascii="Times New Roman" w:hAnsi="Times New Roman" w:eastAsia="" w:cs="Times New Roman" w:eastAsiaTheme="minorEastAsia"/>
          <w:bCs/>
          <w:sz w:val="28"/>
          <w:szCs w:val="28"/>
          <w:shd w:fill="FFFFFF" w:val="clear"/>
          <w:lang w:eastAsia="zh-CN"/>
        </w:rPr>
      </w:pPr>
      <w:r>
        <w:rPr>
          <w:rFonts w:eastAsia="" w:cs="Times New Roman" w:eastAsiaTheme="minorEastAsia" w:ascii="Times New Roman" w:hAnsi="Times New Roman"/>
          <w:bCs/>
          <w:sz w:val="28"/>
          <w:szCs w:val="28"/>
          <w:shd w:fill="FFFFFF" w:val="clear"/>
          <w:lang w:eastAsia="zh-CN"/>
        </w:rPr>
      </w:r>
    </w:p>
    <w:p>
      <w:pPr>
        <w:pStyle w:val="ConsPlusNormal1"/>
        <w:ind w:hanging="0"/>
        <w:jc w:val="right"/>
        <w:rPr>
          <w:rFonts w:ascii="Times New Roman" w:hAnsi="Times New Roman" w:eastAsia="" w:cs="Times New Roman" w:eastAsiaTheme="minorEastAsia"/>
          <w:bCs/>
          <w:sz w:val="28"/>
          <w:szCs w:val="28"/>
          <w:shd w:fill="FFFFFF" w:val="clear"/>
          <w:lang w:eastAsia="zh-CN"/>
        </w:rPr>
      </w:pPr>
      <w:r>
        <w:rPr>
          <w:rFonts w:eastAsia="" w:cs="Times New Roman" w:eastAsiaTheme="minorEastAsia" w:ascii="Times New Roman" w:hAnsi="Times New Roman"/>
          <w:bCs/>
          <w:sz w:val="28"/>
          <w:szCs w:val="28"/>
          <w:shd w:fill="FFFFFF" w:val="clear"/>
          <w:lang w:eastAsia="zh-CN"/>
        </w:rPr>
      </w:r>
    </w:p>
    <w:p>
      <w:pPr>
        <w:pStyle w:val="ConsPlusNormal1"/>
        <w:ind w:hanging="0"/>
        <w:jc w:val="right"/>
        <w:rPr>
          <w:rFonts w:ascii="Times New Roman" w:hAnsi="Times New Roman" w:eastAsia="" w:cs="Times New Roman" w:eastAsiaTheme="minorEastAsia"/>
          <w:bCs/>
          <w:sz w:val="28"/>
          <w:szCs w:val="28"/>
          <w:shd w:fill="FFFFFF" w:val="clear"/>
          <w:lang w:eastAsia="zh-CN"/>
        </w:rPr>
      </w:pPr>
      <w:r>
        <w:rPr>
          <w:rFonts w:eastAsia="" w:cs="Times New Roman" w:eastAsiaTheme="minorEastAsia" w:ascii="Times New Roman" w:hAnsi="Times New Roman"/>
          <w:bCs/>
          <w:sz w:val="28"/>
          <w:szCs w:val="28"/>
          <w:shd w:fill="FFFFFF" w:val="clear"/>
          <w:lang w:eastAsia="zh-CN"/>
        </w:rPr>
      </w:r>
    </w:p>
    <w:p>
      <w:pPr>
        <w:pStyle w:val="Normal"/>
        <w:widowControl w:val="false"/>
        <w:tabs>
          <w:tab w:val="clear" w:pos="708"/>
          <w:tab w:val="left" w:pos="4820" w:leader="none"/>
        </w:tabs>
        <w:jc w:val="both"/>
        <w:rPr/>
      </w:pPr>
      <w:r>
        <w:rPr>
          <w:rFonts w:eastAsia="Calibri" w:ascii="Tinos" w:hAnsi="Tinos"/>
          <w:sz w:val="28"/>
          <w:szCs w:val="28"/>
          <w:shd w:fill="FFFFFF" w:val="clear"/>
          <w:lang w:eastAsia="zh-CN"/>
        </w:rPr>
        <w:t xml:space="preserve">Об утверждении Положения </w:t>
      </w:r>
    </w:p>
    <w:p>
      <w:pPr>
        <w:pStyle w:val="Normal"/>
        <w:widowControl w:val="false"/>
        <w:tabs>
          <w:tab w:val="clear" w:pos="708"/>
          <w:tab w:val="left" w:pos="4820" w:leader="none"/>
        </w:tabs>
        <w:jc w:val="both"/>
        <w:rPr/>
      </w:pPr>
      <w:r>
        <w:rPr>
          <w:rFonts w:eastAsia="Calibri" w:ascii="Tinos" w:hAnsi="Tinos"/>
          <w:sz w:val="28"/>
          <w:szCs w:val="28"/>
          <w:shd w:fill="FFFFFF" w:val="clear"/>
          <w:lang w:eastAsia="zh-CN"/>
        </w:rPr>
        <w:t xml:space="preserve">о разграничении полномочий </w:t>
      </w:r>
    </w:p>
    <w:p>
      <w:pPr>
        <w:pStyle w:val="Normal"/>
        <w:widowControl w:val="false"/>
        <w:tabs>
          <w:tab w:val="clear" w:pos="708"/>
          <w:tab w:val="left" w:pos="4820" w:leader="none"/>
        </w:tabs>
        <w:jc w:val="both"/>
        <w:rPr/>
      </w:pPr>
      <w:r>
        <w:rPr>
          <w:rFonts w:eastAsia="Calibri" w:ascii="Tinos" w:hAnsi="Tinos"/>
          <w:sz w:val="28"/>
          <w:szCs w:val="28"/>
          <w:shd w:fill="FFFFFF" w:val="clear"/>
          <w:lang w:eastAsia="zh-CN"/>
        </w:rPr>
        <w:t xml:space="preserve">в сфере образования в Ютазинском </w:t>
      </w:r>
    </w:p>
    <w:p>
      <w:pPr>
        <w:pStyle w:val="Normal"/>
        <w:widowControl w:val="false"/>
        <w:tabs>
          <w:tab w:val="clear" w:pos="708"/>
          <w:tab w:val="left" w:pos="4820" w:leader="none"/>
        </w:tabs>
        <w:jc w:val="both"/>
        <w:rPr/>
      </w:pPr>
      <w:r>
        <w:rPr>
          <w:rFonts w:eastAsia="Calibri" w:ascii="Tinos" w:hAnsi="Tinos"/>
          <w:sz w:val="28"/>
          <w:szCs w:val="28"/>
          <w:shd w:fill="FFFFFF" w:val="clear"/>
          <w:lang w:eastAsia="zh-CN"/>
        </w:rPr>
        <w:t xml:space="preserve">муниципальном районе </w:t>
      </w:r>
    </w:p>
    <w:p>
      <w:pPr>
        <w:pStyle w:val="Normal"/>
        <w:widowControl w:val="false"/>
        <w:tabs>
          <w:tab w:val="clear" w:pos="708"/>
          <w:tab w:val="left" w:pos="4820" w:leader="none"/>
        </w:tabs>
        <w:jc w:val="both"/>
        <w:rPr/>
      </w:pPr>
      <w:r>
        <w:rPr>
          <w:rFonts w:eastAsia="Calibri" w:ascii="Tinos" w:hAnsi="Tinos"/>
          <w:sz w:val="28"/>
          <w:szCs w:val="28"/>
          <w:shd w:fill="FFFFFF" w:val="clear"/>
          <w:lang w:eastAsia="zh-CN"/>
        </w:rPr>
        <w:t>Республики Татарстан</w:t>
      </w:r>
    </w:p>
    <w:p>
      <w:pPr>
        <w:pStyle w:val="Normal"/>
        <w:widowControl w:val="false"/>
        <w:tabs>
          <w:tab w:val="clear" w:pos="708"/>
          <w:tab w:val="left" w:pos="4820" w:leader="none"/>
        </w:tabs>
        <w:jc w:val="both"/>
        <w:rPr>
          <w:sz w:val="28"/>
          <w:szCs w:val="20"/>
          <w:lang w:eastAsia="zh-CN"/>
        </w:rPr>
      </w:pPr>
      <w:r>
        <w:rPr>
          <w:sz w:val="28"/>
          <w:szCs w:val="20"/>
          <w:lang w:eastAsia="zh-CN"/>
        </w:rPr>
      </w:r>
    </w:p>
    <w:p>
      <w:pPr>
        <w:pStyle w:val="Normal"/>
        <w:ind w:firstLine="709"/>
        <w:jc w:val="both"/>
        <w:rPr>
          <w:rFonts w:eastAsia="Calibri"/>
          <w:sz w:val="28"/>
          <w:szCs w:val="28"/>
        </w:rPr>
      </w:pPr>
      <w:r>
        <w:rPr>
          <w:rFonts w:eastAsia="Calibri"/>
          <w:sz w:val="28"/>
          <w:szCs w:val="28"/>
          <w:shd w:fill="FFFFFF" w:val="clear"/>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29.12.2012 № 273-ФЗ «Об образовании в Российской Федерации», Законом Республики Татарстан от 28.07.2004 № 45-ЗРТ «О местном самоуправлении в Республике Татарстан», Законом Республики Татарстан от 22.07.2013 № 68-ЗРТ «Об образовании», Уставом муниципального образования «Ютазинский муниципальный район Республики Татарстан», в целях повышения эффективности управления системой образования в Ютазинском муниципальном районе Республики Татарстан, Исполнительный комитет Ютазинского муниципального района Республики Татарстан п о с т а н о в л я е т:</w:t>
      </w:r>
    </w:p>
    <w:p>
      <w:pPr>
        <w:pStyle w:val="Normal"/>
        <w:ind w:firstLine="709"/>
        <w:jc w:val="both"/>
        <w:rPr>
          <w:rFonts w:eastAsia="Calibri"/>
          <w:sz w:val="28"/>
          <w:szCs w:val="28"/>
        </w:rPr>
      </w:pPr>
      <w:r>
        <w:rPr>
          <w:rFonts w:eastAsia="Calibri"/>
          <w:sz w:val="28"/>
          <w:szCs w:val="28"/>
        </w:rPr>
      </w:r>
    </w:p>
    <w:p>
      <w:pPr>
        <w:pStyle w:val="Normal"/>
        <w:tabs>
          <w:tab w:val="clear" w:pos="708"/>
          <w:tab w:val="left" w:pos="0" w:leader="none"/>
        </w:tabs>
        <w:spacing w:before="0" w:after="0"/>
        <w:ind w:firstLine="567" w:right="-1"/>
        <w:contextualSpacing/>
        <w:jc w:val="both"/>
        <w:rPr>
          <w:b/>
          <w:bCs/>
        </w:rPr>
      </w:pPr>
      <w:r>
        <w:rPr>
          <w:rFonts w:eastAsia="Calibri"/>
          <w:sz w:val="28"/>
          <w:szCs w:val="28"/>
        </w:rPr>
        <w:t xml:space="preserve">1. Утвердить прилагаемое Положение о разграничении полномочий в сфере образования </w:t>
      </w:r>
      <w:r>
        <w:rPr>
          <w:rFonts w:eastAsia="Calibri"/>
          <w:sz w:val="28"/>
          <w:szCs w:val="28"/>
          <w:shd w:fill="FFFFFF" w:val="clear"/>
        </w:rPr>
        <w:t>в Ютазинском муниципальном районе Республики Татарстан</w:t>
      </w:r>
      <w:r>
        <w:rPr>
          <w:rFonts w:eastAsia="Calibri"/>
          <w:sz w:val="28"/>
          <w:szCs w:val="28"/>
        </w:rPr>
        <w:t>.</w:t>
      </w:r>
    </w:p>
    <w:p>
      <w:pPr>
        <w:pStyle w:val="Normal"/>
        <w:tabs>
          <w:tab w:val="clear" w:pos="708"/>
          <w:tab w:val="left" w:pos="0" w:leader="none"/>
        </w:tabs>
        <w:spacing w:before="0" w:after="0"/>
        <w:ind w:firstLine="567" w:right="-1"/>
        <w:contextualSpacing/>
        <w:jc w:val="both"/>
        <w:rPr>
          <w:rFonts w:ascii="Tinos" w:hAnsi="Tinos" w:eastAsia="Calibri"/>
          <w:sz w:val="28"/>
          <w:szCs w:val="28"/>
          <w:shd w:fill="FFFFFF" w:val="clear"/>
          <w:lang w:eastAsia="zh-CN"/>
        </w:rPr>
      </w:pPr>
      <w:r>
        <w:rPr>
          <w:rFonts w:eastAsia="Calibri"/>
          <w:sz w:val="28"/>
          <w:szCs w:val="28"/>
          <w:shd w:fill="FFFFFF" w:val="clear"/>
          <w:lang w:eastAsia="zh-CN"/>
        </w:rPr>
        <w:t xml:space="preserve">2. </w:t>
      </w:r>
      <w:r>
        <w:rPr>
          <w:rFonts w:eastAsia="Calibri" w:ascii="Tinos" w:hAnsi="Tinos"/>
          <w:sz w:val="28"/>
          <w:szCs w:val="28"/>
          <w:shd w:fill="FFFFFF" w:val="clear"/>
          <w:lang w:eastAsia="zh-CN"/>
        </w:rPr>
        <w:t xml:space="preserve">Начальнику </w:t>
      </w:r>
      <w:r>
        <w:rPr>
          <w:rFonts w:eastAsia="Calibri"/>
          <w:sz w:val="28"/>
          <w:szCs w:val="28"/>
          <w:shd w:fill="FFFFFF" w:val="clear"/>
          <w:lang w:eastAsia="zh-CN"/>
        </w:rPr>
        <w:t>муниципального казенного учреждения «</w:t>
      </w:r>
      <w:r>
        <w:rPr>
          <w:rFonts w:eastAsia="Calibri" w:ascii="Tinos" w:hAnsi="Tinos"/>
          <w:sz w:val="28"/>
          <w:szCs w:val="28"/>
          <w:shd w:fill="FFFFFF" w:val="clear"/>
          <w:lang w:eastAsia="zh-CN"/>
        </w:rPr>
        <w:t>Отдел образования Исполнительного комитета Ютазинского муниципального района Республики Татарстан» и руководителям муниципальных образовательных организаций Ютазинского муниципального района Республики Татарстан организовать работу в соответствии с Положением, утвержденным пунктом 1 настоящего постановления.</w:t>
      </w:r>
    </w:p>
    <w:p>
      <w:pPr>
        <w:pStyle w:val="Normal"/>
        <w:tabs>
          <w:tab w:val="clear" w:pos="708"/>
          <w:tab w:val="left" w:pos="0" w:leader="none"/>
        </w:tabs>
        <w:spacing w:before="0" w:after="0"/>
        <w:ind w:firstLine="567" w:right="-1"/>
        <w:contextualSpacing/>
        <w:jc w:val="both"/>
        <w:rPr>
          <w:rFonts w:ascii="Tinos" w:hAnsi="Tinos" w:eastAsia="Calibri"/>
          <w:sz w:val="28"/>
          <w:szCs w:val="28"/>
          <w:shd w:fill="FFFFFF" w:val="clear"/>
          <w:lang w:eastAsia="zh-CN"/>
        </w:rPr>
      </w:pPr>
      <w:r>
        <w:rPr>
          <w:rFonts w:eastAsia="Calibri" w:ascii="Tinos" w:hAnsi="Tinos"/>
          <w:sz w:val="28"/>
          <w:szCs w:val="28"/>
          <w:shd w:fill="FFFFFF" w:val="clear"/>
          <w:lang w:eastAsia="zh-CN"/>
        </w:rPr>
        <w:t>3. Признать Постановление Исполнительного комитета Ютазинского муниципального района Республики Татарстан от 30.10.2018 №757 «О разграничении полномочий в сфере образования в Ютазинском муниципальном районе Республики Татарстан» утратившим силу.</w:t>
      </w:r>
    </w:p>
    <w:p>
      <w:pPr>
        <w:pStyle w:val="Normal"/>
        <w:tabs>
          <w:tab w:val="clear" w:pos="708"/>
          <w:tab w:val="left" w:pos="0" w:leader="none"/>
        </w:tabs>
        <w:spacing w:before="0" w:after="0"/>
        <w:ind w:firstLine="567" w:right="-1"/>
        <w:contextualSpacing/>
        <w:jc w:val="both"/>
        <w:rPr/>
      </w:pPr>
      <w:r>
        <w:rPr>
          <w:rFonts w:eastAsia="Calibri"/>
          <w:sz w:val="28"/>
          <w:szCs w:val="28"/>
        </w:rPr>
        <w:t>4. Официально обнародовать настоящее постановление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tabs>
          <w:tab w:val="clear" w:pos="708"/>
          <w:tab w:val="left" w:pos="0" w:leader="none"/>
        </w:tabs>
        <w:spacing w:before="0" w:after="0"/>
        <w:ind w:firstLine="567" w:right="-1"/>
        <w:contextualSpacing/>
        <w:jc w:val="both"/>
        <w:rPr/>
      </w:pPr>
      <w:r>
        <w:rPr>
          <w:rFonts w:eastAsia="Calibri"/>
          <w:sz w:val="28"/>
          <w:szCs w:val="28"/>
          <w:lang w:eastAsia="zh-CN"/>
        </w:rPr>
        <w:t xml:space="preserve">4. Настоящее постановление вступает в силу со дня его официального опубликования.  </w:t>
      </w:r>
      <w:r>
        <w:rPr>
          <w:rFonts w:eastAsia="Calibri"/>
          <w:sz w:val="28"/>
          <w:szCs w:val="28"/>
        </w:rPr>
        <w:t xml:space="preserve">  </w:t>
      </w:r>
    </w:p>
    <w:p>
      <w:pPr>
        <w:pStyle w:val="Normal"/>
        <w:tabs>
          <w:tab w:val="clear" w:pos="708"/>
          <w:tab w:val="left" w:pos="0" w:leader="none"/>
        </w:tabs>
        <w:spacing w:before="0" w:after="0"/>
        <w:ind w:firstLine="567" w:right="-1"/>
        <w:contextualSpacing/>
        <w:jc w:val="both"/>
        <w:rPr/>
      </w:pPr>
      <w:r>
        <w:rPr>
          <w:rFonts w:eastAsia="Calibri"/>
          <w:sz w:val="28"/>
          <w:szCs w:val="28"/>
        </w:rPr>
        <w:t>5. Контроль за исполнением настоящего постановления возложить на  заместителя руководителя Исполнительного комитета Ютазинского муниципального района Республики Татарстан по социальным вопросам.</w:t>
      </w:r>
    </w:p>
    <w:p>
      <w:pPr>
        <w:pStyle w:val="Normal"/>
        <w:tabs>
          <w:tab w:val="clear" w:pos="708"/>
          <w:tab w:val="left" w:pos="0" w:leader="none"/>
        </w:tabs>
        <w:spacing w:before="0" w:after="0"/>
        <w:ind w:right="-1"/>
        <w:contextualSpacing/>
        <w:jc w:val="both"/>
        <w:rPr>
          <w:rFonts w:eastAsia="Calibri"/>
          <w:sz w:val="28"/>
          <w:szCs w:val="28"/>
        </w:rPr>
      </w:pPr>
      <w:r>
        <w:rPr>
          <w:rFonts w:eastAsia="Calibri"/>
          <w:sz w:val="28"/>
          <w:szCs w:val="28"/>
        </w:rPr>
        <w:t xml:space="preserve"> </w:t>
      </w:r>
    </w:p>
    <w:p>
      <w:pPr>
        <w:pStyle w:val="Normal"/>
        <w:tabs>
          <w:tab w:val="clear" w:pos="708"/>
          <w:tab w:val="left" w:pos="0" w:leader="none"/>
        </w:tabs>
        <w:spacing w:before="0" w:after="0"/>
        <w:ind w:right="-1"/>
        <w:contextualSpacing/>
        <w:jc w:val="both"/>
        <w:rPr>
          <w:rFonts w:eastAsia="Calibri"/>
          <w:sz w:val="28"/>
          <w:szCs w:val="28"/>
        </w:rPr>
      </w:pPr>
      <w:r>
        <w:rPr>
          <w:rFonts w:eastAsia="Calibri"/>
          <w:sz w:val="28"/>
          <w:szCs w:val="28"/>
        </w:rPr>
      </w:r>
    </w:p>
    <w:p>
      <w:pPr>
        <w:pStyle w:val="Normal"/>
        <w:tabs>
          <w:tab w:val="clear" w:pos="708"/>
          <w:tab w:val="left" w:pos="0" w:leader="none"/>
        </w:tabs>
        <w:spacing w:before="0" w:after="200"/>
        <w:contextualSpacing/>
        <w:rPr>
          <w:sz w:val="28"/>
          <w:szCs w:val="28"/>
        </w:rPr>
      </w:pPr>
      <w:r>
        <w:rPr>
          <w:rFonts w:eastAsia="Calibri"/>
          <w:sz w:val="28"/>
          <w:szCs w:val="28"/>
        </w:rPr>
        <w:t xml:space="preserve">  </w:t>
      </w:r>
      <w:r>
        <w:rPr>
          <w:sz w:val="28"/>
          <w:szCs w:val="28"/>
        </w:rPr>
        <w:t>Руководитель</w:t>
      </w:r>
    </w:p>
    <w:p>
      <w:pPr>
        <w:pStyle w:val="Normal"/>
        <w:tabs>
          <w:tab w:val="clear" w:pos="708"/>
          <w:tab w:val="left" w:pos="0" w:leader="none"/>
        </w:tabs>
        <w:spacing w:before="0" w:after="0"/>
        <w:contextualSpacing/>
        <w:rPr>
          <w:sz w:val="28"/>
          <w:szCs w:val="28"/>
        </w:rPr>
      </w:pPr>
      <w:r>
        <w:rPr>
          <w:sz w:val="28"/>
          <w:szCs w:val="28"/>
        </w:rPr>
        <w:t xml:space="preserve">  </w:t>
      </w:r>
      <w:r>
        <w:rPr>
          <w:sz w:val="28"/>
          <w:szCs w:val="28"/>
        </w:rPr>
        <w:t xml:space="preserve">Исполнительного комитета   </w:t>
      </w:r>
    </w:p>
    <w:p>
      <w:pPr>
        <w:pStyle w:val="Normal"/>
        <w:tabs>
          <w:tab w:val="clear" w:pos="708"/>
          <w:tab w:val="left" w:pos="0" w:leader="none"/>
        </w:tabs>
        <w:spacing w:before="0" w:after="0"/>
        <w:contextualSpacing/>
        <w:rPr>
          <w:sz w:val="28"/>
          <w:szCs w:val="28"/>
        </w:rPr>
      </w:pPr>
      <w:r>
        <w:rPr>
          <w:sz w:val="28"/>
          <w:szCs w:val="28"/>
        </w:rPr>
        <w:t xml:space="preserve">  </w:t>
      </w:r>
      <w:r>
        <w:rPr>
          <w:sz w:val="28"/>
          <w:szCs w:val="28"/>
        </w:rPr>
        <w:t>Ютазинского муниципального района</w:t>
      </w:r>
    </w:p>
    <w:p>
      <w:pPr>
        <w:pStyle w:val="Normal"/>
        <w:tabs>
          <w:tab w:val="clear" w:pos="708"/>
          <w:tab w:val="left" w:pos="0" w:leader="none"/>
        </w:tabs>
        <w:spacing w:before="0" w:after="0"/>
        <w:ind w:right="-1"/>
        <w:contextualSpacing/>
        <w:jc w:val="both"/>
        <w:rPr>
          <w:sz w:val="28"/>
          <w:szCs w:val="28"/>
        </w:rPr>
      </w:pPr>
      <w:r>
        <w:rPr>
          <w:sz w:val="28"/>
          <w:szCs w:val="28"/>
        </w:rPr>
        <w:t xml:space="preserve">  </w:t>
      </w:r>
      <w:r>
        <w:rPr>
          <w:sz w:val="28"/>
          <w:szCs w:val="28"/>
        </w:rPr>
        <w:t>Республики Татарстан                                                                            С.П. Самонина</w:t>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tabs>
          <w:tab w:val="clear" w:pos="708"/>
          <w:tab w:val="left" w:pos="0" w:leader="none"/>
        </w:tabs>
        <w:spacing w:before="0" w:after="0"/>
        <w:ind w:right="-1"/>
        <w:contextualSpacing/>
        <w:jc w:val="both"/>
        <w:rPr>
          <w:sz w:val="28"/>
          <w:szCs w:val="28"/>
        </w:rPr>
      </w:pPr>
      <w:r>
        <w:rPr>
          <w:sz w:val="28"/>
          <w:szCs w:val="28"/>
        </w:rPr>
      </w:r>
    </w:p>
    <w:p>
      <w:pPr>
        <w:pStyle w:val="Normal"/>
        <w:jc w:val="both"/>
        <w:rPr>
          <w:shd w:fill="FFFFFF" w:val="clear"/>
        </w:rPr>
      </w:pPr>
      <w:r>
        <w:rPr>
          <w:shd w:fill="FFFFFF" w:val="clear"/>
        </w:rPr>
        <w:t xml:space="preserve">С.А. Абрамов </w:t>
      </w:r>
    </w:p>
    <w:p>
      <w:pPr>
        <w:pStyle w:val="Normal"/>
        <w:jc w:val="both"/>
        <w:rPr>
          <w:rFonts w:ascii="Tinos" w:hAnsi="Tinos"/>
          <w:shd w:fill="FFFFFF" w:val="clear"/>
          <w:lang w:eastAsia="zh-CN"/>
        </w:rPr>
      </w:pPr>
      <w:r>
        <w:rPr>
          <w:rFonts w:ascii="Tinos" w:hAnsi="Tinos"/>
          <w:shd w:fill="FFFFFF" w:val="clear"/>
          <w:lang w:eastAsia="zh-CN"/>
        </w:rPr>
        <w:t>т. 2-42-23</w:t>
      </w:r>
    </w:p>
    <w:p>
      <w:pPr>
        <w:pStyle w:val="ConsPlusNormal1"/>
        <w:ind w:hanging="0"/>
        <w:jc w:val="right"/>
        <w:rPr>
          <w:rFonts w:ascii="Times New Roman" w:hAnsi="Times New Roman" w:eastAsia="" w:cs="Times New Roman" w:eastAsiaTheme="minorEastAsia"/>
          <w:bCs/>
          <w:sz w:val="28"/>
          <w:szCs w:val="28"/>
          <w:shd w:fill="FFFFFF" w:val="clear"/>
          <w:lang w:eastAsia="zh-CN"/>
        </w:rPr>
      </w:pPr>
      <w:r>
        <w:rPr>
          <w:rFonts w:eastAsia="" w:cs="Times New Roman" w:ascii="Times New Roman" w:hAnsi="Times New Roman" w:eastAsiaTheme="minorEastAsia"/>
          <w:bCs/>
          <w:sz w:val="28"/>
          <w:szCs w:val="28"/>
          <w:shd w:fill="FFFFFF" w:val="clear"/>
          <w:lang w:eastAsia="zh-CN"/>
        </w:rPr>
        <w:t>Приложение</w:t>
      </w:r>
    </w:p>
    <w:p>
      <w:pPr>
        <w:pStyle w:val="ConsPlusNormal1"/>
        <w:ind w:hanging="0"/>
        <w:jc w:val="center"/>
        <w:rPr>
          <w:rFonts w:ascii="Times New Roman" w:hAnsi="Times New Roman" w:eastAsia="" w:cs="Times New Roman" w:eastAsiaTheme="minorEastAsia"/>
          <w:bCs/>
          <w:sz w:val="28"/>
          <w:szCs w:val="28"/>
          <w:shd w:fill="FFFFFF" w:val="clear"/>
          <w:lang w:eastAsia="zh-CN"/>
        </w:rPr>
      </w:pPr>
      <w:r>
        <w:rPr>
          <w:rFonts w:eastAsia="" w:cs="Times New Roman" w:eastAsiaTheme="minorEastAsia" w:ascii="Times New Roman" w:hAnsi="Times New Roman"/>
          <w:bCs/>
          <w:sz w:val="28"/>
          <w:szCs w:val="28"/>
          <w:shd w:fill="FFFFFF" w:val="clear"/>
          <w:lang w:eastAsia="zh-CN"/>
        </w:rPr>
      </w:r>
    </w:p>
    <w:p>
      <w:pPr>
        <w:pStyle w:val="ConsPlusNormal1"/>
        <w:ind w:hanging="0"/>
        <w:jc w:val="center"/>
        <w:rPr>
          <w:rFonts w:ascii="Times New Roman" w:hAnsi="Times New Roman" w:eastAsia="" w:cs="Times New Roman" w:eastAsiaTheme="minorEastAsia"/>
          <w:bCs/>
          <w:sz w:val="28"/>
          <w:szCs w:val="28"/>
          <w:shd w:fill="FFFFFF" w:val="clear"/>
          <w:lang w:eastAsia="zh-CN"/>
        </w:rPr>
      </w:pPr>
      <w:r>
        <w:rPr>
          <w:rFonts w:eastAsia="" w:cs="Times New Roman" w:ascii="Times New Roman" w:hAnsi="Times New Roman" w:eastAsiaTheme="minorEastAsia"/>
          <w:bCs/>
          <w:sz w:val="28"/>
          <w:szCs w:val="28"/>
          <w:shd w:fill="FFFFFF" w:val="clear"/>
          <w:lang w:eastAsia="zh-CN"/>
        </w:rPr>
        <w:t xml:space="preserve">Положение о разграничении полномочий в сфере образования </w:t>
      </w:r>
    </w:p>
    <w:p>
      <w:pPr>
        <w:pStyle w:val="ConsPlusNormal1"/>
        <w:ind w:hanging="0"/>
        <w:jc w:val="center"/>
        <w:rPr>
          <w:rFonts w:ascii="Times New Roman" w:hAnsi="Times New Roman" w:eastAsia="" w:cs="Times New Roman" w:eastAsiaTheme="minorEastAsia"/>
          <w:bCs/>
          <w:sz w:val="28"/>
          <w:szCs w:val="28"/>
        </w:rPr>
      </w:pPr>
      <w:r>
        <w:rPr>
          <w:rFonts w:eastAsia="" w:cs="Times New Roman" w:ascii="Times New Roman" w:hAnsi="Times New Roman" w:eastAsiaTheme="minorEastAsia"/>
          <w:bCs/>
          <w:sz w:val="28"/>
          <w:szCs w:val="28"/>
          <w:shd w:fill="FFFFFF" w:val="clear"/>
          <w:lang w:eastAsia="zh-CN"/>
        </w:rPr>
        <w:t>в Ютазинском муниципальном районе Республики Татарстан</w:t>
      </w:r>
    </w:p>
    <w:p>
      <w:pPr>
        <w:pStyle w:val="ConsPlusNormal1"/>
        <w:ind w:firstLine="567"/>
        <w:jc w:val="center"/>
        <w:rPr>
          <w:rFonts w:ascii="Times New Roman" w:hAnsi="Times New Roman" w:cs="Times New Roman"/>
          <w:sz w:val="28"/>
          <w:szCs w:val="28"/>
        </w:rPr>
      </w:pPr>
      <w:r>
        <w:rPr>
          <w:rFonts w:cs="Times New Roman" w:ascii="Times New Roman" w:hAnsi="Times New Roman"/>
          <w:sz w:val="28"/>
          <w:szCs w:val="28"/>
        </w:rPr>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Настоящее Положение в соответствии </w:t>
      </w:r>
      <w:r>
        <w:rPr>
          <w:rFonts w:cs="Times New Roman" w:ascii="Times New Roman" w:hAnsi="Times New Roman"/>
          <w:sz w:val="28"/>
          <w:szCs w:val="28"/>
          <w:shd w:fill="FFFFFF" w:val="clear"/>
        </w:rPr>
        <w:t>с Федеральным законом от 20.03.2025 № 33-ФЗ «Об общих принципах организации местного самоуправления в единой системе публичной власти», Федеральным законом от 29.12.2012 № 273-ФЗ «Об образовании в Российской Федерации», Законом Республики Татарстан от 28.07.2004 № 45-ЗРТ «О местном самоуправлении в Республике Татарстан», Законом Республики Татарстан от 22.07.2013 № 68-ЗРТ «Об образовании», Уставом муниципального образования «Ютазинский муниципальный район Республики Татарстан»</w:t>
      </w:r>
      <w:r>
        <w:rPr>
          <w:rFonts w:cs="Times New Roman" w:ascii="Times New Roman" w:hAnsi="Times New Roman"/>
          <w:sz w:val="28"/>
          <w:szCs w:val="28"/>
        </w:rPr>
        <w:t xml:space="preserve"> разграничивает полномочия в сфере образования между Исполнительным комитетом Ютазинского муниципального района Республики Татарстан (далее - Исполнительный комитет), муниципальным казенным учреждением «</w:t>
      </w:r>
      <w:r>
        <w:rPr>
          <w:rFonts w:cs="Times New Roman" w:ascii="Tinos" w:hAnsi="Tinos"/>
          <w:sz w:val="28"/>
          <w:szCs w:val="28"/>
          <w:shd w:fill="FFFFFF" w:val="clear"/>
          <w:lang w:eastAsia="zh-CN"/>
        </w:rPr>
        <w:t>Отдел образования Исполнительного комитета Ютазинского муниципального района Республики Татарстан»</w:t>
      </w:r>
      <w:r>
        <w:rPr>
          <w:rFonts w:cs="Times New Roman" w:ascii="Times New Roman" w:hAnsi="Times New Roman"/>
          <w:sz w:val="28"/>
          <w:szCs w:val="28"/>
        </w:rPr>
        <w:t xml:space="preserve"> (далее - Отдел образования) и муниципальными образовательными организациями Ютазинского муниципального района Республики Татарстан (далее - образовательные организации).</w:t>
      </w:r>
    </w:p>
    <w:p>
      <w:pPr>
        <w:pStyle w:val="ConsPlusNormal1"/>
        <w:numPr>
          <w:ilvl w:val="0"/>
          <w:numId w:val="3"/>
        </w:numPr>
        <w:tabs>
          <w:tab w:val="clear" w:pos="708"/>
          <w:tab w:val="left" w:pos="851" w:leader="none"/>
        </w:tabs>
        <w:ind w:firstLine="567" w:left="0"/>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следующие полномочия: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1.1. Создание, реорганизация, ликвидация, приостановление и возобновление деятельности образовательных организаций (за исключением создания органами местного самоуправления муниципальных районов муниципальных образовательных учреждений высшего образования), осуществление функций и полномочий учредителей муниципальных образовательных учреждений;</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1.2. Создание условий для осуществления присмотра и ухода за детьми, содержание детей в образовательных организациях;</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1.3. Обеспечение содержания зданий и сооружений муниципальных образовательных учреждений, обустройство прилегающих к ним территорий;</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1.4. Согласование программы развития образования на территории Ютазинского муниципального района Республики Татарстан и программы развития  образовательных организаций, если иное не установлено Федеральным законом «Об образовании в Российской Федерации»;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1.5. Утверждение Устава образовательных организаций, а также вносимые в него изменения.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1.6. Установление мер социальной поддержки обучающихся образовательных организаций;</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1.7. Организация перевозки обучающихся в образовательных организациях между поселениями;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1.8. Создание центров психолого-педагогической, медицинской и социальной помощи;         </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1.9. Установление платы, взимаемой с родителей (законных представителей), ее размер, если иное не предусмотрено Федеральным законом «Об образовании в Российской Федерации», за содержание детей в образовательных организациях с наличием интерната, а также за осуществление присмотра и ухода за детьми в группах продленного дня; снижение размера указанной платы или не взимание ее с отдельных категорий родителей (законных представителей);</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1.10. Формирование общественных советов по проведению независимой оценки качества образовательной деятельности образовательных организаций, расположенных на территории Ютазинского муниципального района Республики Татарстан и утверждение положений о них;</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1.11. Утверждение графика приемки образовательных организаций к новому учебному году;</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1.12. Определение видов и перечней особо ценного движимого имущества, закрепленного за образовательной организацией учредителем или приобретенного  образовательной организацией за счет средств, выделенных ему учредителем на приобретение такого имущества (далее - особо ценное движимое имущество);</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1.13. Предварительное согласование совершения образовательной организацией крупных сделок, соответствующих критериям, установленным в пункте 13 ст. 9.2 Федерального закона «О некоммерческих учреждениях»;</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1.14. Принятие решений об одобрении сделок с участием образовательной организацией, в совершении которых имеется заинтересованность, определяемая в соответствии с критериями, установленными в ст. 27 Федерального «О некоммерческих учреждениях»;</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1.15. Установление порядка определения и размеров платы для физических и юридических лиц за услуги (работы), относящиеся к основным видам деятельности образовательной организации, оказываемые им сверхустановленного муниципального задания, а также в случаях, определенных федеральными законами, в пределах установленного муниципального задания;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1.16. Определение порядка составления и утверждения отчета, об использовании закрепленного за образовательной организацией муниципального имущества в соответствии с общими требованиями, установленными Министерством финансов Российской Федерации;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1.17. Согласование распоряжения особо ценным движимым имуществом, закрепленным за образовательной организацией учредителем либо приобретенным образовательной организацией за счет средств, выделенных учредителем на приобретение такого имущества;</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1.18. Согласование распоряжения недвижимым имуществом образовательной организацией, в том числе передачу его в аренду;</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1.19. Согласование внесения образовательной организацией, а в случаях и порядке, предусмотренных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этого имущества иным образом в качестве их учредителя или участника;</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1.20. Определение предельно допустимого значения просроченной кредиторской задолженности образовательным организациям, превышение которого влечет расторжение трудового договора с руководителем образовательной организации по инициативе работодателя в соответствии с Трудовым кодексом РФ;</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1.21. Закрепление образовательных организаций за конкретными территориями Ютазинского муниципального района Республики Татарстан;</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1.22. Решения (постановления, распоряжения и др.) Исполнительного комитета, касающиеся сферы образования Ютазинского муниципального района Республики Татарстан не дублируются приказами Отдел образования и обязательны для исполнения образовательными организациями;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1.23. Назначение руководителя Отдел образования и прекращение его полномочий;</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1.24. Согласование кандидатов на должность руководителей образовательных организаций из числа предложенных Отделом образования, заключение и расторжение трудового договора с руководителем образовательной организац</w:t>
      </w:r>
      <w:r>
        <w:rPr>
          <w:rFonts w:cs="Times New Roman" w:ascii="Times New Roman" w:hAnsi="Times New Roman"/>
          <w:sz w:val="28"/>
          <w:szCs w:val="28"/>
        </w:rPr>
        <w:t>и</w:t>
      </w:r>
      <w:r>
        <w:rPr>
          <w:rFonts w:cs="Times New Roman" w:ascii="Times New Roman" w:hAnsi="Times New Roman"/>
          <w:sz w:val="28"/>
          <w:szCs w:val="28"/>
        </w:rPr>
        <w:t xml:space="preserve">и; </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1.25. Развитие международного и межрегионального, межмуниципального сотрудничества в области образования;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1.26. Осуществление финансового контроля деятельности образовательных организаций в соответствии законодательством Российской Федерации и муниципальными нормативными актами;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1.27. Формирование межведомственной комиссии по рассмотрению вопросов о приеме в образовательные организации на обучение по образовательным программам начального общего образования детей, не достигших возраста шести лет шести месяцев, или старше 8 лет;</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1.28. Определение порядка составления и утверждения плана финансово-хозяйственной деятельности образовательных организаций в соответствии с требованиями, установленными Министерством финансов Российской Федерации;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1.29. Утверждение муниципального задания и осуществление финансового обеспечения его выполнения.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 Отдел образования осуществляет следующие полномочия: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shd w:fill="FFFFFF" w:val="clear"/>
        </w:rPr>
        <w:t xml:space="preserve"> </w:t>
      </w:r>
      <w:r>
        <w:rPr>
          <w:rFonts w:cs="Times New Roman" w:ascii="Times New Roman" w:hAnsi="Times New Roman"/>
          <w:sz w:val="28"/>
          <w:szCs w:val="28"/>
          <w:shd w:fill="FFFFFF" w:val="clear"/>
        </w:rPr>
        <w:t>2.1.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2.2. Организация предоставления дополнительного образования детей в </w:t>
      </w:r>
      <w:r>
        <w:rPr>
          <w:rFonts w:cs="Times New Roman" w:ascii="Times New Roman" w:hAnsi="Times New Roman"/>
          <w:sz w:val="28"/>
          <w:szCs w:val="28"/>
          <w:shd w:fill="FFFFFF" w:val="clear"/>
        </w:rPr>
        <w:t>образовательных организациях</w:t>
      </w:r>
      <w:r>
        <w:rPr>
          <w:rFonts w:cs="Times New Roman" w:ascii="Times New Roman" w:hAnsi="Times New Roman"/>
          <w:sz w:val="28"/>
          <w:szCs w:val="28"/>
        </w:rPr>
        <w:t xml:space="preserve"> (за исключением дополнительного образования детей, финансовое обеспечение которого осуществляется органами государственной власти субъекта РФ);</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2.3. Общее руководство муниципальной системой образования и координации деятельности всех структур системы;</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2.4. Обеспечение перевода совершеннолетних обучающихся с их согласия и несовершеннолетних обучающихся с согласия родителей (законных представителей) в другие </w:t>
      </w:r>
      <w:r>
        <w:rPr>
          <w:rFonts w:cs="Times New Roman" w:ascii="Times New Roman" w:hAnsi="Times New Roman"/>
          <w:sz w:val="28"/>
          <w:szCs w:val="28"/>
          <w:shd w:fill="FFFFFF" w:val="clear"/>
        </w:rPr>
        <w:t xml:space="preserve">образовательные организации </w:t>
      </w:r>
      <w:r>
        <w:rPr>
          <w:rFonts w:cs="Times New Roman" w:ascii="Times New Roman" w:hAnsi="Times New Roman"/>
          <w:sz w:val="28"/>
          <w:szCs w:val="28"/>
        </w:rPr>
        <w:t>в случаях:</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прекращение деятельности </w:t>
      </w:r>
      <w:r>
        <w:rPr>
          <w:rFonts w:cs="Times New Roman" w:ascii="Times New Roman" w:hAnsi="Times New Roman"/>
          <w:sz w:val="28"/>
          <w:szCs w:val="28"/>
          <w:shd w:fill="FFFFFF" w:val="clear"/>
        </w:rPr>
        <w:t>образовательной организации</w:t>
      </w:r>
      <w:r>
        <w:rPr>
          <w:rFonts w:cs="Times New Roman" w:ascii="Times New Roman" w:hAnsi="Times New Roman"/>
          <w:sz w:val="28"/>
          <w:szCs w:val="28"/>
        </w:rPr>
        <w:t>;</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аннулирование соответствующей лицензии или приостановления действия лицензии;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лишения государственной аккредитации по соответствующей образовательной программе или истечении срока её действия;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приостановления действия государственной аккредитации полностью или в отношении отдельных уровней образования.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2.5. Определение порядка подготовки образовательных организаций к новому учебному году, отопительному сезону, составление графиков приемки;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2.6. Учет детей, подлежащих обучению по образовательным программам дошкольного, начального общего, основного общего и среднего общего образования;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2.7. Решение вопроса об устройстве ребенка в другую </w:t>
      </w:r>
      <w:r>
        <w:rPr>
          <w:rFonts w:cs="Times New Roman" w:ascii="Times New Roman" w:hAnsi="Times New Roman"/>
          <w:sz w:val="28"/>
          <w:szCs w:val="28"/>
          <w:shd w:fill="FFFFFF" w:val="clear"/>
        </w:rPr>
        <w:t>образовательную организацию</w:t>
      </w:r>
      <w:r>
        <w:rPr>
          <w:rFonts w:cs="Times New Roman" w:ascii="Times New Roman" w:hAnsi="Times New Roman"/>
          <w:sz w:val="28"/>
          <w:szCs w:val="28"/>
        </w:rPr>
        <w:t xml:space="preserve"> в случае отказа в приеме в </w:t>
      </w:r>
      <w:r>
        <w:rPr>
          <w:rFonts w:cs="Times New Roman" w:ascii="Times New Roman" w:hAnsi="Times New Roman"/>
          <w:sz w:val="28"/>
          <w:szCs w:val="28"/>
          <w:shd w:fill="FFFFFF" w:val="clear"/>
        </w:rPr>
        <w:t>образовательную организацию</w:t>
      </w:r>
      <w:r>
        <w:rPr>
          <w:rFonts w:cs="Times New Roman" w:ascii="Times New Roman" w:hAnsi="Times New Roman"/>
          <w:sz w:val="28"/>
          <w:szCs w:val="28"/>
        </w:rPr>
        <w:t xml:space="preserve"> по причине отсутствия в ней свободных мест;</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2.8. Обеспечение открытости и доступности информации о системе образования;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2.9. Формирование муниципального задания на оказание </w:t>
      </w:r>
      <w:r>
        <w:rPr>
          <w:rFonts w:cs="Times New Roman" w:ascii="Times New Roman" w:hAnsi="Times New Roman"/>
          <w:sz w:val="28"/>
          <w:szCs w:val="28"/>
          <w:shd w:fill="FFFFFF" w:val="clear"/>
        </w:rPr>
        <w:t xml:space="preserve">образовательными организациями </w:t>
      </w:r>
      <w:r>
        <w:rPr>
          <w:rFonts w:cs="Times New Roman" w:ascii="Times New Roman" w:hAnsi="Times New Roman"/>
          <w:sz w:val="28"/>
          <w:szCs w:val="28"/>
        </w:rPr>
        <w:t>муниципальных услуг (выполнение работ) юридическим и физическим лицам по согласованию с Исполнительным комитетом;</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2.10. Обеспечение выполнения федеральной, республиканской и муниципальной Программ развития системы образования, обеспечение эффективного функционирования и развития образовательных учреждений Ютазинского муниципального района Республики Татарстан;</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2.11. Обеспечение нормативно-правового регулирования в области образования и государственных образовательных стандартов и эффективного функционирования системы образования на уровне государственных нормативов;</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2.12. Обеспечение прав и защиты законных интересов работников образования, детей и подростков, создание условий для организации их обучения, занятости и отдыха, дополнительного образования, а также формирования здорового образа жизни;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2.13. Обеспечение непрерывности процессов воспитания и образования, их качественного развития в соответствии с потребностями общества и с учетом национально-региональной специфики;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2.14. По согласованию с руководителем Исполнительного комитета определение целей, условий и порядка деятельности </w:t>
      </w:r>
      <w:r>
        <w:rPr>
          <w:rFonts w:cs="Times New Roman" w:ascii="Times New Roman" w:hAnsi="Times New Roman"/>
          <w:sz w:val="28"/>
          <w:szCs w:val="28"/>
          <w:shd w:fill="FFFFFF" w:val="clear"/>
        </w:rPr>
        <w:t>образовательных организаций</w:t>
      </w:r>
      <w:r>
        <w:rPr>
          <w:rFonts w:cs="Times New Roman" w:ascii="Times New Roman" w:hAnsi="Times New Roman"/>
          <w:sz w:val="28"/>
          <w:szCs w:val="28"/>
        </w:rPr>
        <w:t>, заслушивание отчетов об их деятельности;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2.15. Определение порядка составления и утверждения отчета о результатах деятельности муниципальных образовательных учреждений;</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2.16. Организация деятельности </w:t>
      </w:r>
      <w:r>
        <w:rPr>
          <w:rFonts w:cs="Times New Roman" w:ascii="Times New Roman" w:hAnsi="Times New Roman"/>
          <w:sz w:val="28"/>
          <w:szCs w:val="28"/>
          <w:shd w:fill="FFFFFF" w:val="clear"/>
        </w:rPr>
        <w:t>образовательных организаций</w:t>
      </w:r>
      <w:r>
        <w:rPr>
          <w:rFonts w:cs="Times New Roman" w:ascii="Times New Roman" w:hAnsi="Times New Roman"/>
          <w:sz w:val="28"/>
          <w:szCs w:val="28"/>
        </w:rPr>
        <w:t xml:space="preserve"> по воспитанию у детей чувства патриотизма, гражданственности, трудолюбия, уважения к правам и свободам человека, любви к окружающей природе, Родине, семье, в том числе, координация всей системы воспитательной работы, координация работы психологической службы в </w:t>
      </w:r>
      <w:r>
        <w:rPr>
          <w:rFonts w:cs="Times New Roman" w:ascii="Times New Roman" w:hAnsi="Times New Roman"/>
          <w:sz w:val="28"/>
          <w:szCs w:val="28"/>
          <w:shd w:fill="FFFFFF" w:val="clear"/>
        </w:rPr>
        <w:t>образовательных организациях</w:t>
      </w:r>
      <w:r>
        <w:rPr>
          <w:rFonts w:cs="Times New Roman" w:ascii="Times New Roman" w:hAnsi="Times New Roman"/>
          <w:sz w:val="28"/>
          <w:szCs w:val="28"/>
        </w:rPr>
        <w:t>;</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2.17. Реализация кадровой политики в сфере образования (в том числе объявление замечаний, выговоров, дисциплинарных взысканий, поощрение), организация работы по аттестации педагогических и руководящих кадров;</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2.18. Определение критериев эффективности деятельности руководителей в соответствии с нормативами, предложенными и утвержденными Кабинетом министров Республики Татарстан, Министерством образования и науки Республики Татарстан;</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2.19. Создание условий в </w:t>
      </w:r>
      <w:r>
        <w:rPr>
          <w:rFonts w:cs="Times New Roman" w:ascii="Times New Roman" w:hAnsi="Times New Roman"/>
          <w:sz w:val="28"/>
          <w:szCs w:val="28"/>
          <w:shd w:fill="FFFFFF" w:val="clear"/>
        </w:rPr>
        <w:t>образовательных организациях</w:t>
      </w:r>
      <w:r>
        <w:rPr>
          <w:rFonts w:cs="Times New Roman" w:ascii="Times New Roman" w:hAnsi="Times New Roman"/>
          <w:sz w:val="28"/>
          <w:szCs w:val="28"/>
        </w:rPr>
        <w:t>, способствующих повышению качества образования, освоению прогрессивных образовательных технологий, соответствующих современным требованиям педагогической науки;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2.20. Анализ информационного-методического сопровождения образовательного процесса, учебно-методической и воспитательной работы в </w:t>
      </w:r>
      <w:r>
        <w:rPr>
          <w:rFonts w:cs="Times New Roman" w:ascii="Times New Roman" w:hAnsi="Times New Roman"/>
          <w:sz w:val="28"/>
          <w:szCs w:val="28"/>
          <w:shd w:fill="FFFFFF" w:val="clear"/>
        </w:rPr>
        <w:t>образовательных организациях</w:t>
      </w:r>
      <w:r>
        <w:rPr>
          <w:rFonts w:cs="Times New Roman" w:ascii="Times New Roman" w:hAnsi="Times New Roman"/>
          <w:sz w:val="28"/>
          <w:szCs w:val="28"/>
        </w:rPr>
        <w:t xml:space="preserve"> и подготовка предложений по совершенствованию их работы;</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2.21. Оказание информационно-методической помощи педагогическим работникам </w:t>
      </w:r>
      <w:r>
        <w:rPr>
          <w:rFonts w:cs="Times New Roman" w:ascii="Times New Roman" w:hAnsi="Times New Roman"/>
          <w:sz w:val="28"/>
          <w:szCs w:val="28"/>
          <w:shd w:fill="FFFFFF" w:val="clear"/>
        </w:rPr>
        <w:t>образовательных организаций</w:t>
      </w:r>
      <w:r>
        <w:rPr>
          <w:rFonts w:cs="Times New Roman" w:ascii="Times New Roman" w:hAnsi="Times New Roman"/>
          <w:sz w:val="28"/>
          <w:szCs w:val="28"/>
        </w:rPr>
        <w:t xml:space="preserve"> в повышении профессионального мастерства;</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2.22. Участие в организации инновационной и экспериментальной деятельности в </w:t>
      </w:r>
      <w:r>
        <w:rPr>
          <w:rFonts w:cs="Times New Roman" w:ascii="Times New Roman" w:hAnsi="Times New Roman"/>
          <w:sz w:val="28"/>
          <w:szCs w:val="28"/>
          <w:shd w:fill="FFFFFF" w:val="clear"/>
        </w:rPr>
        <w:t>образовательных организациях</w:t>
      </w:r>
      <w:r>
        <w:rPr>
          <w:rFonts w:cs="Times New Roman" w:ascii="Times New Roman" w:hAnsi="Times New Roman"/>
          <w:sz w:val="28"/>
          <w:szCs w:val="28"/>
        </w:rPr>
        <w:t>;</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2.23. Выявление, изучение, оценка результативности педагогического опыта, обобщение и распространение результативного педагогического опыта;</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2.24. Изучение запросов, методическое сопровождение и оказание практической помощи руководящим и педагогическим работникам (в том числе молодым специалистам) в период подготовки к аттестации, а также в межаттестационный период;</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2.25. Информационно-аналитическая и прогностическая деятельность по повышению квалификации педагогических кадров в персонифицированной форме, в том числе через ИС «Электронное образование»;</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2.26. Создание для </w:t>
      </w:r>
      <w:r>
        <w:rPr>
          <w:rFonts w:cs="Times New Roman" w:ascii="Times New Roman" w:hAnsi="Times New Roman"/>
          <w:sz w:val="28"/>
          <w:szCs w:val="28"/>
          <w:shd w:fill="FFFFFF" w:val="clear"/>
        </w:rPr>
        <w:t>образовательных организаций</w:t>
      </w:r>
      <w:r>
        <w:rPr>
          <w:rFonts w:cs="Times New Roman" w:ascii="Times New Roman" w:hAnsi="Times New Roman"/>
          <w:sz w:val="28"/>
          <w:szCs w:val="28"/>
        </w:rPr>
        <w:t xml:space="preserve"> необходимой консультационной системы в рамках единого образовательного (методического) пространства;</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2.27. Разработка программы развития образования на территории Ютазинского муниципального района Республики Татарстан;</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2.28. Участие в реализации единой политики в области образования на территории Ютазинского муниципального района Республики Татарстан, совершенствовании системы управления образованием, содержания и технологий образования, в разработке и реализации приоритетных направлений развития муниципальной системы образования;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2.29. Определение содержания организационной, методической и воспитательной работы с педагогическими и руководящими кадрами;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2.30. Создание банков педагогической информации с использованием новых информационных технологий, проведение информационно-библиографической работы;</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2.31. Организация работ по оказанию помощи учителям, руководителям </w:t>
      </w:r>
      <w:r>
        <w:rPr>
          <w:rFonts w:cs="Times New Roman" w:ascii="Times New Roman" w:hAnsi="Times New Roman"/>
          <w:sz w:val="28"/>
          <w:szCs w:val="28"/>
          <w:shd w:fill="FFFFFF" w:val="clear"/>
        </w:rPr>
        <w:t>образовательных организаций</w:t>
      </w:r>
      <w:r>
        <w:rPr>
          <w:rFonts w:cs="Times New Roman" w:ascii="Times New Roman" w:hAnsi="Times New Roman"/>
          <w:sz w:val="28"/>
          <w:szCs w:val="28"/>
        </w:rPr>
        <w:t xml:space="preserve"> в проведении опытно-экспериментальной, инновационной работы, в экспертной оценке программ, пособий, учебных планов, в подготовке работников образования к аттестации;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2.32. Осуществление электронного документооборота в рамках реализации Комплексной программы «Электронное образование»;</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2.33. Создание справочно-информационного фонда и банков данных на основе анализа информации о состоянии учебно-воспитательного процесса в </w:t>
      </w:r>
      <w:r>
        <w:rPr>
          <w:rFonts w:cs="Times New Roman" w:ascii="Times New Roman" w:hAnsi="Times New Roman"/>
          <w:sz w:val="28"/>
          <w:szCs w:val="28"/>
          <w:shd w:fill="FFFFFF" w:val="clear"/>
        </w:rPr>
        <w:t>образовательных организациях</w:t>
      </w:r>
      <w:r>
        <w:rPr>
          <w:rFonts w:cs="Times New Roman" w:ascii="Times New Roman" w:hAnsi="Times New Roman"/>
          <w:sz w:val="28"/>
          <w:szCs w:val="28"/>
        </w:rPr>
        <w:t xml:space="preserve"> для прогнозирования и планирования развития методической службы с учетом социальных запросов и выявленных тенденций;</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2.34. Сбор, анализ, обработка, предоставление информации о состоянии образовательной системы;</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2.35. Систематизация научно-методической информации по инновационной практике в </w:t>
      </w:r>
      <w:r>
        <w:rPr>
          <w:rFonts w:cs="Times New Roman" w:ascii="Times New Roman" w:hAnsi="Times New Roman"/>
          <w:sz w:val="28"/>
          <w:szCs w:val="28"/>
          <w:shd w:fill="FFFFFF" w:val="clear"/>
        </w:rPr>
        <w:t>образовательных организациях</w:t>
      </w:r>
      <w:r>
        <w:rPr>
          <w:rFonts w:cs="Times New Roman" w:ascii="Times New Roman" w:hAnsi="Times New Roman"/>
          <w:sz w:val="28"/>
          <w:szCs w:val="28"/>
        </w:rPr>
        <w:t>;</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2.36. Освещение положительного опыта деятельности образовательных организаций и педагогов через средства массовой информации;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2.37. Обучение педагогов и других специалистов </w:t>
      </w:r>
      <w:r>
        <w:rPr>
          <w:rFonts w:cs="Times New Roman" w:ascii="Times New Roman" w:hAnsi="Times New Roman"/>
          <w:sz w:val="28"/>
          <w:szCs w:val="28"/>
          <w:shd w:fill="FFFFFF" w:val="clear"/>
        </w:rPr>
        <w:t>образовательных организаций</w:t>
      </w:r>
      <w:r>
        <w:rPr>
          <w:rFonts w:cs="Times New Roman" w:ascii="Times New Roman" w:hAnsi="Times New Roman"/>
          <w:sz w:val="28"/>
          <w:szCs w:val="28"/>
        </w:rPr>
        <w:t xml:space="preserve"> навыкам работы с компьютером и технологиями работы с информацией;</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2.38. Участие в подготовке и проведении научно-педагогических конференций, смотрах-конкурсах по проблемам передового опыта; обобщение информации по данному направлению и занесение ее в банк педагогических данных (БПД);</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2.39. Организация работы муниципальных методических объединений педагогических работников </w:t>
      </w:r>
      <w:r>
        <w:rPr>
          <w:rFonts w:cs="Times New Roman" w:ascii="Times New Roman" w:hAnsi="Times New Roman"/>
          <w:sz w:val="28"/>
          <w:szCs w:val="28"/>
          <w:shd w:fill="FFFFFF" w:val="clear"/>
        </w:rPr>
        <w:t>образовательных организаций</w:t>
      </w:r>
      <w:r>
        <w:rPr>
          <w:rFonts w:cs="Times New Roman" w:ascii="Times New Roman" w:hAnsi="Times New Roman"/>
          <w:sz w:val="28"/>
          <w:szCs w:val="28"/>
        </w:rPr>
        <w:t>;</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2.40. Методическое сопровождение подготовки педагогических работников </w:t>
      </w:r>
      <w:r>
        <w:rPr>
          <w:rFonts w:cs="Times New Roman" w:ascii="Times New Roman" w:hAnsi="Times New Roman"/>
          <w:sz w:val="28"/>
          <w:szCs w:val="28"/>
          <w:shd w:fill="FFFFFF" w:val="clear"/>
        </w:rPr>
        <w:t>образовательных организаций</w:t>
      </w:r>
      <w:r>
        <w:rPr>
          <w:rFonts w:cs="Times New Roman" w:ascii="Times New Roman" w:hAnsi="Times New Roman"/>
          <w:sz w:val="28"/>
          <w:szCs w:val="28"/>
        </w:rPr>
        <w:t xml:space="preserve"> к проведению промежуточной и итоговой аттестации;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2.41. Обеспечение комплектования фондов учебников, учебно-методической литературы </w:t>
      </w:r>
      <w:r>
        <w:rPr>
          <w:rFonts w:cs="Times New Roman" w:ascii="Times New Roman" w:hAnsi="Times New Roman"/>
          <w:sz w:val="28"/>
          <w:szCs w:val="28"/>
          <w:shd w:fill="FFFFFF" w:val="clear"/>
        </w:rPr>
        <w:t>образовательных организаций</w:t>
      </w:r>
      <w:r>
        <w:rPr>
          <w:rFonts w:cs="Times New Roman" w:ascii="Times New Roman" w:hAnsi="Times New Roman"/>
          <w:sz w:val="28"/>
          <w:szCs w:val="28"/>
        </w:rPr>
        <w:t>;</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2.42. Определение опорных (базовых) школ, дошкольных учреждений, школ педагогического опыта для проведения семинаров-практикумов и других мероприятий с руководящими и педагогическими работниками </w:t>
      </w:r>
      <w:r>
        <w:rPr>
          <w:rFonts w:cs="Times New Roman" w:ascii="Times New Roman" w:hAnsi="Times New Roman"/>
          <w:sz w:val="28"/>
          <w:szCs w:val="28"/>
          <w:shd w:fill="FFFFFF" w:val="clear"/>
        </w:rPr>
        <w:t>образовательных организаций</w:t>
      </w:r>
      <w:r>
        <w:rPr>
          <w:rFonts w:cs="Times New Roman" w:ascii="Times New Roman" w:hAnsi="Times New Roman"/>
          <w:sz w:val="28"/>
          <w:szCs w:val="28"/>
        </w:rPr>
        <w:t>;</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2.43. Организация и проведение фестивалей, конкурсов, предметных олимпиад, конференций, физкультурно-спортивных мероприятий и мероприятий патриотической направленности;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2.44. Организация проведения консультативной работы с педагогическими работниками образовательных </w:t>
      </w:r>
      <w:r>
        <w:rPr>
          <w:rFonts w:cs="Times New Roman" w:ascii="Times New Roman" w:hAnsi="Times New Roman"/>
          <w:sz w:val="28"/>
          <w:szCs w:val="28"/>
          <w:shd w:fill="FFFFFF" w:val="clear"/>
        </w:rPr>
        <w:t>организаций</w:t>
      </w:r>
      <w:r>
        <w:rPr>
          <w:rFonts w:cs="Times New Roman" w:ascii="Times New Roman" w:hAnsi="Times New Roman"/>
          <w:sz w:val="28"/>
          <w:szCs w:val="28"/>
        </w:rPr>
        <w:t>, родителями обучающихся (воспитанников) ;</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2.45. Организация работы по проведению ЕГЭ и ГИА;</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2.46. Осуществление проверки промежуточного и внутришкольного контроля в </w:t>
      </w:r>
      <w:r>
        <w:rPr>
          <w:rFonts w:cs="Times New Roman" w:ascii="Times New Roman" w:hAnsi="Times New Roman"/>
          <w:sz w:val="28"/>
          <w:szCs w:val="28"/>
          <w:shd w:fill="FFFFFF" w:val="clear"/>
        </w:rPr>
        <w:t>образовательных организациях</w:t>
      </w:r>
      <w:r>
        <w:rPr>
          <w:rFonts w:cs="Times New Roman" w:ascii="Times New Roman" w:hAnsi="Times New Roman"/>
          <w:sz w:val="28"/>
          <w:szCs w:val="28"/>
        </w:rPr>
        <w:t>;</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2.47. Учет выдачи документов об образовании и медали «За особые успехи в обучении»;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2.48. Создание банка данных детей с ограниченными возможностями, детей-инвалидов, детей из семей мигрантов;</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2.49. Ведение работы библиотечного и методического фонда;</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2.50. Осуществление мониторинга в сфере школьных перевозок;</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2.51. Осуществление мониторинга организации питания в </w:t>
      </w:r>
      <w:r>
        <w:rPr>
          <w:rFonts w:cs="Times New Roman" w:ascii="Times New Roman" w:hAnsi="Times New Roman"/>
          <w:sz w:val="28"/>
          <w:szCs w:val="28"/>
          <w:shd w:fill="FFFFFF" w:val="clear"/>
        </w:rPr>
        <w:t>образовательных организациях</w:t>
      </w:r>
      <w:r>
        <w:rPr>
          <w:rFonts w:cs="Times New Roman" w:ascii="Times New Roman" w:hAnsi="Times New Roman"/>
          <w:sz w:val="28"/>
          <w:szCs w:val="28"/>
        </w:rPr>
        <w:t>;</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2.52. Осуществление мониторинга материально-технического оснащения </w:t>
      </w:r>
      <w:r>
        <w:rPr>
          <w:rFonts w:cs="Times New Roman" w:ascii="Times New Roman" w:hAnsi="Times New Roman"/>
          <w:sz w:val="28"/>
          <w:szCs w:val="28"/>
          <w:shd w:fill="FFFFFF" w:val="clear"/>
        </w:rPr>
        <w:t>образовательных организаций</w:t>
      </w:r>
      <w:r>
        <w:rPr>
          <w:rFonts w:cs="Times New Roman" w:ascii="Times New Roman" w:hAnsi="Times New Roman"/>
          <w:sz w:val="28"/>
          <w:szCs w:val="28"/>
        </w:rPr>
        <w:t>;</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2.53. Рассмотрение информации о результатах независимой оценки качества образования и ее учет при выработке мер по совершенствованию образовательной деятельности;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2.54. Организация и проведение отбора кандидатов на заключение договоров о целевом обучении.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 О</w:t>
      </w:r>
      <w:r>
        <w:rPr>
          <w:rFonts w:cs="Times New Roman" w:ascii="Times New Roman" w:hAnsi="Times New Roman"/>
          <w:sz w:val="28"/>
          <w:szCs w:val="28"/>
          <w:shd w:fill="FFFFFF" w:val="clear"/>
        </w:rPr>
        <w:t>бразовательные организации</w:t>
      </w:r>
      <w:r>
        <w:rPr>
          <w:rFonts w:cs="Times New Roman" w:ascii="Times New Roman" w:hAnsi="Times New Roman"/>
          <w:sz w:val="28"/>
          <w:szCs w:val="28"/>
        </w:rPr>
        <w:t xml:space="preserve"> осуществляют следующие полномочия: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3.1. Разработка и принятие правил внутреннего распорядка обучающихся, правил внутреннего трудового распорядка, иных локальных нормативных актов;</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3.4. Установление штатного расписания, если иное не установлено нормативными правовыми актами Российской Федерации;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3.5. Прием на работу работников, заключение с ними и расторжение трудовых договоров, если иное не установлено Федеральным законом «</w:t>
      </w:r>
      <w:r>
        <w:rPr>
          <w:rFonts w:cs="Times New Roman" w:ascii="Times New Roman" w:hAnsi="Times New Roman"/>
          <w:sz w:val="28"/>
          <w:szCs w:val="28"/>
          <w:shd w:fill="FFFFFF" w:val="clear"/>
        </w:rPr>
        <w:t>Об образовании в Российской Федерации</w:t>
      </w:r>
      <w:r>
        <w:rPr>
          <w:rFonts w:cs="Times New Roman" w:ascii="Times New Roman" w:hAnsi="Times New Roman"/>
          <w:sz w:val="28"/>
          <w:szCs w:val="28"/>
        </w:rPr>
        <w:t>», распределение должностных обязанностей, создание условий и организация дополнительного профессионального образования работников;</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3.6. Разработка и утверждение образовательных программ </w:t>
      </w:r>
      <w:r>
        <w:rPr>
          <w:rFonts w:cs="Times New Roman" w:ascii="Times New Roman" w:hAnsi="Times New Roman"/>
          <w:sz w:val="28"/>
          <w:szCs w:val="28"/>
          <w:shd w:fill="FFFFFF" w:val="clear"/>
        </w:rPr>
        <w:t>образовательной организации</w:t>
      </w:r>
      <w:r>
        <w:rPr>
          <w:rFonts w:cs="Times New Roman" w:ascii="Times New Roman" w:hAnsi="Times New Roman"/>
          <w:sz w:val="28"/>
          <w:szCs w:val="28"/>
        </w:rPr>
        <w:t>;</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3.7. Разработка и утверждение по согласованию с учредителем программы развития </w:t>
      </w:r>
      <w:r>
        <w:rPr>
          <w:rFonts w:cs="Times New Roman" w:ascii="Times New Roman" w:hAnsi="Times New Roman"/>
          <w:sz w:val="28"/>
          <w:szCs w:val="28"/>
          <w:shd w:fill="FFFFFF" w:val="clear"/>
        </w:rPr>
        <w:t>образовательной организации</w:t>
      </w:r>
      <w:r>
        <w:rPr>
          <w:rFonts w:cs="Times New Roman" w:ascii="Times New Roman" w:hAnsi="Times New Roman"/>
          <w:sz w:val="28"/>
          <w:szCs w:val="28"/>
        </w:rPr>
        <w:t>, если иное не установлено Федеральным законом «</w:t>
      </w:r>
      <w:r>
        <w:rPr>
          <w:rFonts w:cs="Times New Roman" w:ascii="Times New Roman" w:hAnsi="Times New Roman"/>
          <w:sz w:val="28"/>
          <w:szCs w:val="28"/>
          <w:shd w:fill="FFFFFF" w:val="clear"/>
        </w:rPr>
        <w:t>Об образовании в Российской Федерации</w:t>
      </w:r>
      <w:r>
        <w:rPr>
          <w:rFonts w:cs="Times New Roman" w:ascii="Times New Roman" w:hAnsi="Times New Roman"/>
          <w:sz w:val="28"/>
          <w:szCs w:val="28"/>
        </w:rPr>
        <w:t>»;</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3.8. Прием обучающихся в образовательную организацию;</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3.11.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 технической, творческой, экспериментальной и инновационной деятельности, если иное не установлено Федеральным законом «</w:t>
      </w:r>
      <w:r>
        <w:rPr>
          <w:rFonts w:cs="Times New Roman" w:ascii="Times New Roman" w:hAnsi="Times New Roman"/>
          <w:sz w:val="28"/>
          <w:szCs w:val="28"/>
          <w:shd w:fill="FFFFFF" w:val="clear"/>
        </w:rPr>
        <w:t>Об образовании в Российской Федерации»</w:t>
      </w:r>
      <w:r>
        <w:rPr>
          <w:rFonts w:cs="Times New Roman" w:ascii="Times New Roman" w:hAnsi="Times New Roman"/>
          <w:sz w:val="28"/>
          <w:szCs w:val="28"/>
        </w:rPr>
        <w:t>;</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3.12.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3.13. Использование и совершенствование методов обучения и воспитания, образовательных технологий, электронного обучения;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3.14. Проведение самообследования, обеспечение функционирования внутренней системы оценки качества образования;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3.15. Обеспечение в образовательной организации, имеющей интернат, необходимых условий содержания обучающихся;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3.16.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3.17.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3.18. Создание условий для занятия обучающимися физической культурой и спортом;</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образовательном учреждении и не запрещенной законодательством Российской Федерации;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3.20. Содействие добровольческой (волонтерской) деятельности обучающихся, их участию в общественно-полезном труде;</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3.21. Организация научно-методической работы, в том числе организация и проведение научных и методических конференций, семинаров;</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3.22. Обеспечение создания и ведения официального сайта образовательной организации в сети «Интернет»;</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3.23. Ведение в соответствии с законодательством Российской Федерации научной и (или) творческой деятельности, если такая деятельность предусмотрена их уставом;</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3.24. Ведение консультационной, просветительской деятельности, деятельности в сфере охраны здоровья граждан и иной не противоречащей целям создания образовательной организации деятельности, в том числе осуществление организации отдыха и оздоровления обучающихся в каникулярное время (с круглосуточным или дневным пребыванием);</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3.25. Осуществление деятельности в соответствии с законодательством об образовании, в том числе:</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3.26. Несение ответственности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3.27. Формирование открытых и общедоступных информационных ресурсов, содержащих информацию об их деятельности, и обеспечение доступа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3.28. Обеспечение открытости и доступности информации: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его филиалов (при наличии), режиме, графике работы, контактных телефонах и об адресах электронной почты;</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 структуре и об органах управления образовательной организации;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 численности обучающихся по реализуемым образовательным программам за счет бюджетных ассигнований федерального бюджета, бюджета Республики Татарстан, местных бюджетов и по договорам об образовании за счет средств физических и (или) юридических лиц;</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 языках образования;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 федеральных государственных образовательных стандартах, об образовательных стандартах (при их наличии);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 руководителе образовательной организации, его заместителях, руководителях филиалов образовательной организации (при их наличии);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 персональном составе педагогических работников с указанием уровня образования, квалификации и опыта работы;</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w:t>
        <w:softHyphen/>
        <w:t>-телекоммуникационным сетям, об электронных образовательных ресурсах, к которым обеспечивается доступ обучающихся);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бюджета Республики Татарстан, местных бюджетов, по договорам об образовании за счет средств физических и (или) юридических лиц);</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 наличии и об условиях предоставления обучающимся стипендий, мер социальной поддержки;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бюджета Республики Татарстан, местных бюджетов, по договорам об образовании за счет средств физических и (или) юридических лиц;</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 поступлении финансовых и материальных средств и об их расходовании по итогам финансового года;</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 трудоустройстве выпускников.</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3.29. Размещение в открытых и общедоступных информационных ресурсах копий:</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устава образовательной организации;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лицензии на осуществление образовательной деятельности (с приложениями);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свидетельства о государственной аккредитации (с приложениями);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локальных нормативных актов по основным вопросам организации и осуществления образовательной деятельности,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договора;</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отчета о результатах самообследования;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предписаний органов, осуществляющих государственный контроль (надзор) в сфере образования, отчетов об исполнении таких предписаний;</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3.30. Принимают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3.31. Принимают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3.32.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3.33. Безвозмездное предоставление медицинской организации помещения, соответствующего условиям и требованиям для осуществления медицинской деятельности;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3.34. Создают условия для охраны здоровья обучающихся, в том числе обеспечивают:</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текущий контроль за состоянием здоровья обучающихся;</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соблюдение государственных санитарно-эпидемиологических правил и нормативов;</w:t>
      </w:r>
    </w:p>
    <w:p>
      <w:pPr>
        <w:pStyle w:val="ConsPlusNormal1"/>
        <w:tabs>
          <w:tab w:val="clear" w:pos="708"/>
          <w:tab w:val="left" w:pos="851" w:leader="none"/>
        </w:tabs>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расследование и учет несчастных случаев с обучающимися во время пребывания в учреждении,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информативно-правовому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информативно-правовому регулированию в сфере здравоохранения.</w:t>
      </w:r>
    </w:p>
    <w:p>
      <w:pPr>
        <w:pStyle w:val="Normal"/>
        <w:rPr/>
      </w:pPr>
      <w:r>
        <w:rPr>
          <w:sz w:val="28"/>
          <w:szCs w:val="28"/>
        </w:rPr>
        <w:t xml:space="preserve">     </w:t>
      </w:r>
      <w:r>
        <w:rPr>
          <w:sz w:val="28"/>
          <w:szCs w:val="28"/>
        </w:rPr>
        <w:t>3.35. Осуществление образовательной деятельности за счет средств физических и (или) юридических лиц по договорам об оказании платных образо</w:t>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PT Astra Serif">
    <w:charset w:val="01"/>
    <w:family w:val="roman"/>
    <w:pitch w:val="default"/>
  </w:font>
  <w:font w:name="Tinos">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5eb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ConsPlusNormal" w:customStyle="1">
    <w:name w:val="ConsPlusNormal Знак"/>
    <w:link w:val="ConsPlusNormal1"/>
    <w:qFormat/>
    <w:locked/>
    <w:rsid w:val="00d85eb8"/>
    <w:rPr>
      <w:rFonts w:ascii="Arial" w:hAnsi="Arial" w:eastAsia="Calibri" w:cs="Arial"/>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1" w:customStyle="1">
    <w:name w:val="ConsPlusNormal"/>
    <w:link w:val="ConsPlusNormal"/>
    <w:qFormat/>
    <w:rsid w:val="00d85eb8"/>
    <w:pPr>
      <w:widowControl/>
      <w:suppressAutoHyphens w:val="true"/>
      <w:bidi w:val="0"/>
      <w:spacing w:lineRule="auto" w:line="240" w:before="0" w:after="0"/>
      <w:ind w:firstLine="720"/>
      <w:jc w:val="left"/>
    </w:pPr>
    <w:rPr>
      <w:rFonts w:ascii="Arial" w:hAnsi="Arial" w:eastAsia="Calibri" w:cs="Arial" w:eastAsiaTheme="minorHAnsi"/>
      <w:color w:val="auto"/>
      <w:kern w:val="0"/>
      <w:sz w:val="22"/>
      <w:szCs w:val="22"/>
      <w:lang w:val="ru-RU" w:eastAsia="en-US" w:bidi="ar-SA"/>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LibreOffice/24.8.4.2$Linux_X86_64 LibreOffice_project/480$Build-2</Application>
  <AppVersion>15.0000</AppVersion>
  <Pages>14</Pages>
  <Words>3444</Words>
  <Characters>28280</Characters>
  <CharactersWithSpaces>32304</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2026-03-30T06:33:00Z</dcterms:created>
  <dc:creator>User</dc:creator>
  <dc:description/>
  <dc:language>ru-RU</dc:language>
  <cp:lastModifiedBy/>
  <dcterms:modified xsi:type="dcterms:W3CDTF">2026-03-31T07:49:32Z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