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overflowPunct w:val="tru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 заседания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«___»_________ 20___г.                           №___                                              пгт Уруссу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811"/>
        <w:gridCol w:w="4393"/>
      </w:tblGrid>
      <w:tr>
        <w:trPr/>
        <w:tc>
          <w:tcPr>
            <w:tcW w:w="5811" w:type="dxa"/>
            <w:tcBorders/>
          </w:tcPr>
          <w:p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4"/>
              </w:rPr>
              <w:t>О внесении изменений и дополнений в решение внеочередного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b w:val="false"/>
                <w:sz w:val="28"/>
                <w:szCs w:val="24"/>
                <w:lang w:val="en-US"/>
              </w:rPr>
              <w:t>V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b w:val="false"/>
                <w:sz w:val="28"/>
                <w:szCs w:val="24"/>
              </w:rPr>
              <w:t xml:space="preserve"> 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  <w:tc>
          <w:tcPr>
            <w:tcW w:w="4393" w:type="dxa"/>
            <w:tcBorders/>
          </w:tcPr>
          <w:p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firstLine="709"/>
        <w:jc w:val="both"/>
        <w:outlineLvl w:val="1"/>
        <w:rPr>
          <w:rFonts w:ascii="Cambria" w:hAnsi="Cambria" w:eastAsia="Times New Roman" w:cs="Cambria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Cambria" w:ascii="Times New Roman" w:hAnsi="Times New Roman"/>
          <w:bCs/>
          <w:iCs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Cambria"/>
          <w:bCs/>
          <w:iCs/>
          <w:sz w:val="28"/>
          <w:szCs w:val="28"/>
          <w:lang w:eastAsia="ru-RU"/>
        </w:rPr>
      </w:pPr>
      <w:r>
        <w:rPr>
          <w:rFonts w:eastAsia="Times New Roman" w:cs="Cambria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firstLine="567"/>
        <w:jc w:val="both"/>
        <w:outlineLvl w:val="1"/>
        <w:rPr>
          <w:rFonts w:ascii="Cambria" w:hAnsi="Cambria" w:eastAsia="Times New Roman" w:cs="Cambria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1. Внести в Решение внеочередного заседания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созыва Ютазинского районного Совета от 12.12.2025 № 19 «О бюджете Ютазинского муниципального района Республики Татарстан на 2026 год и на плановый период 2027 и 2028 годов» (далее - Решение) следующие изменения и дополнения:</w:t>
      </w:r>
    </w:p>
    <w:p>
      <w:pPr>
        <w:pStyle w:val="Normal"/>
        <w:suppressAutoHyphens w:val="true"/>
        <w:spacing w:lineRule="auto" w:line="240" w:before="0"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1.1.  В статье 1 Решения: </w:t>
      </w:r>
    </w:p>
    <w:p>
      <w:pPr>
        <w:pStyle w:val="Normal"/>
        <w:suppressAutoHyphens w:val="true"/>
        <w:spacing w:lineRule="auto" w:line="240" w:before="0" w:after="0"/>
        <w:ind w:left="72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подпункте 1 пункта 1 цифру «1 184 143,09» заменить цифрой «1 214 173,8»;</w:t>
      </w:r>
    </w:p>
    <w:p>
      <w:pPr>
        <w:pStyle w:val="Normal"/>
        <w:suppressAutoHyphens w:val="true"/>
        <w:spacing w:lineRule="auto" w:line="240" w:before="0"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 подпункте 1 пункта 2 цифру «1 184 143,09» заменить цифрой «1 222 269,0»;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в) в подпункте 1 пункта 3 цифру «0,00» заменить цифрой «8 095,2»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2)Таблицу 1 Приложения 1 изложить в следующей редакции:</w:t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Источники финансирования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Республики Татарстан на 2026 год</w:t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тыс.рублей 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1"/>
        <w:gridCol w:w="5528"/>
        <w:gridCol w:w="1650"/>
      </w:tblGrid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- 8 095,2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- 8 095,2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- 1 214 173,8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- 1 214 173,8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- 1 214 173,8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- 1 214 173,8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1 222 269,0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1 222 269,0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1 222 269,0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1 222 269,0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3) Таблицу 1 приложения 2 изложить в следующей редакции: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Республики Татарстан на 2026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2834"/>
        <w:gridCol w:w="1702"/>
      </w:tblGrid>
      <w:tr>
        <w:trPr>
          <w:tblHeader w:val="true"/>
          <w:trHeight w:val="469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453 208,9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391 908,1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391 908,1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361 786,3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30 121,8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18 360,1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18 360,1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18 804,0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12 317,0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4 487,0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7 104,9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7 104,9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10 513,0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10 267,0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429,0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429,0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1 544,0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1 062,0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639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760 964,9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757 570,7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371 083,5</w:t>
            </w:r>
          </w:p>
        </w:tc>
      </w:tr>
      <w:tr>
        <w:trPr>
          <w:trHeight w:val="68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296 998,4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89 488,8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2 759,4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2 759,4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634,8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634,8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1 214 173,8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 Таблицу 1 приложения 3 изложить в следующей редакции:</w:t>
      </w:r>
    </w:p>
    <w:p>
      <w:pPr>
        <w:pStyle w:val="Normal"/>
        <w:spacing w:lineRule="auto" w:line="240" w:before="0" w:after="0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Ведомственная структура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Республики Татарстан 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728"/>
        <w:gridCol w:w="577"/>
        <w:gridCol w:w="579"/>
        <w:gridCol w:w="1567"/>
        <w:gridCol w:w="697"/>
        <w:gridCol w:w="1379"/>
      </w:tblGrid>
      <w:tr>
        <w:trPr>
          <w:trHeight w:val="315" w:hRule="atLeast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184 986.2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45 046.2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24 804.8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24 801.4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24 801.4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24 801.4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19 231.6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5 556.7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17 420.1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15 054.8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13 640.4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1 445.2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1 368.9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3 958.8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3 958.8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6 222.2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4 546.8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4 499.5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40 354.8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189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34 310.7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20 383.2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15 681.6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15 157.2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15 157.2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189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220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2 305.6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2 305.6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2 305.6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2 305.6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2 305.6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1 639.0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666.6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46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22 904.5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22 037.4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55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88 154.5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43 711.5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8 458.8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8 458.8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8 458.8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8 458.8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6 853.4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1 605.4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35 252.7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35 208.5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35 208.5</w:t>
            </w:r>
          </w:p>
        </w:tc>
      </w:tr>
      <w:tr>
        <w:trPr>
          <w:trHeight w:val="189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15 728.5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15 700.9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11 900.7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11 900.7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283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220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4 352.4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4 350.1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4 350.1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4 327.4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4 327.4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4 318.5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3 699.9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614.9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22 022.8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22 022.8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17 422.2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15 828.8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1 510.2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1 253.1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1 189.8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1 189.8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1 145.4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1 145.4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137 770.0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1 046.2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1 039.1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1 039.1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1 039.1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1 039.1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911.8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124.8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23 020.9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23 020.9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21 901.7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21 745.4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21 745.4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4 263.4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113 702.9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113 702.9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113 461.9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3 964.2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2 780.1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28 520.7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77 638.6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77 638.6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10 257.2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67 381.4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686 328.2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3 250.4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2 775.7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2 042.2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2 042.2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2 042.2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1 728.4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310.1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474.7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431.0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431.0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422.1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675 910.6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200 698.9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197 053.0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135 207.6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134 709.8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4 598.6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27 663.7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189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436 595.3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430 730.4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267 210.8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265 155.6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41 062.1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46 776.8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252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17 287.5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17 211.1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17 211.1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17 211.1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2 602.6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21 328.9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8 905.8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7 899.4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436.4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3 103.9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3 103.9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3 103.9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2 481.8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557.0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7 167.2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7 167.2</w:t>
            </w:r>
          </w:p>
        </w:tc>
      </w:tr>
      <w:tr>
        <w:trPr>
          <w:trHeight w:val="315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1 925.1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1 925.1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1 913.0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1 913.0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1 913.0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1 913.0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1 861.0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96 729.8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3 274.3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2 533.1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1 799.6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1 799.6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1 799.6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1 706.1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91.2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741.2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705.5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705.5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31 737.0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426.0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19 691.9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19 691.9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19 691.9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11 625.8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9 737.8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61 718.5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211.6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580.5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60 518.5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53 838.2</w:t>
            </w:r>
          </w:p>
        </w:tc>
      </w:tr>
      <w:tr>
        <w:trPr>
          <w:trHeight w:val="63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53 838.2</w:t>
            </w:r>
          </w:p>
        </w:tc>
      </w:tr>
      <w:tr>
        <w:trPr>
          <w:trHeight w:val="157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1260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94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315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1 222 269.0</w:t>
            </w:r>
          </w:p>
        </w:tc>
      </w:tr>
    </w:tbl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 Таблицу 1 приложения 4 изложить в следующей редакции:</w:t>
      </w:r>
    </w:p>
    <w:p>
      <w:pPr>
        <w:pStyle w:val="BodyTextIndent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BodyTextIndent"/>
        <w:spacing w:lineRule="auto" w:line="240" w:before="0" w:after="0"/>
        <w:ind w:left="468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Распределение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603"/>
        <w:gridCol w:w="640"/>
        <w:gridCol w:w="1566"/>
        <w:gridCol w:w="734"/>
        <w:gridCol w:w="1559"/>
      </w:tblGrid>
      <w:tr>
        <w:trPr>
          <w:trHeight w:val="315" w:hRule="atLeast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5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124 626.6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17 422.2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1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F1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29.4</w:t>
            </w:r>
            <w:bookmarkEnd w:id="2"/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17 392.8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15 828.8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1 510.2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53.8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31 152.7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29 682.3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29 682.3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29 682.3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23 577.9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6 082.8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10 371.8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10 371.8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10 371.8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10 371.8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8 714.4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1 657.4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59 511.0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56 927.8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55 513.4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4 318.5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3 699.9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614.9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89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21 778.5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15 700.9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1 445.2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1 368.9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18 128.6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18 123.6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6 222.2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5 521.4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4 546.8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4 499.5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42 207.8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189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36 161.4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17 538.7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20 383.2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15 681.6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15 157.2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15 157.2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773 532.8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200 698.9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197 053.0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135 207.6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134 709.8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4 598.6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27 663.7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479 459.6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473 594.7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310 075.1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265 155.6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41 062.1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46 776.8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189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252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40 308.4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39 112.8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38 956.6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17 211.1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2 602.6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21 745.4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4 263.4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12 045.1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426.0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41 020.8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8 905.8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7 899.4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436.4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22 795.8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22 795.8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14 729.7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557.0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116 008.5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116 008.5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115 767.5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3 964.2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2 780.1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28 520.7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79 944.2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79 944.2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1 639.0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10 257.2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666.6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67 381.4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30 071.7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29 204.6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283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61 718.4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211.6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580.5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60 518.4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53 838.2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53 838.2</w:t>
            </w:r>
          </w:p>
        </w:tc>
      </w:tr>
      <w:tr>
        <w:trPr>
          <w:trHeight w:val="157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63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94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283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1890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1 222 269.0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>Таблицу 1 приложения 5 изложить в следующей редакции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0"/>
        <w:gridCol w:w="5124"/>
      </w:tblGrid>
      <w:tr>
        <w:trPr/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Приложение №5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 решению внеочередного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заседания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созыва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7"/>
        <w:gridCol w:w="1566"/>
        <w:gridCol w:w="781"/>
        <w:gridCol w:w="540"/>
        <w:gridCol w:w="519"/>
        <w:gridCol w:w="1554"/>
      </w:tblGrid>
      <w:tr>
        <w:trPr>
          <w:trHeight w:val="315" w:hRule="atLeast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5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15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719 399.8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135 207.6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134 709.8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B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  <w:bookmarkEnd w:id="3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RANGE!F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4 598.6</w:t>
            </w:r>
            <w:bookmarkEnd w:id="4"/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4 598.6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4 598.6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27 663.7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27 663.7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27 663.7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310 075.1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265 155.6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41 062.1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41 062.1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41 062.1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46 776.8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46 776.8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46 776.8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189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189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38 956.6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17 211.1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2 602.6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2 602.6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2 602.6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21 745.4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4 263.4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4 263.4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4 263.4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252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817.4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7 899.4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7 899.4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7 899.4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436.4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436.4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436.4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283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5 434.7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779.7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64.1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687.1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12 062.3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12 062.3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12 062.3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12 012.3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10 706.4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5 864.9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115 767.5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4 522.5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3 964.2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3 964.2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3 964.2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31 300.8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2 780.1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2 780.1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2 780.1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28 520.7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28 520.7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28 520.7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79 944.2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79 944.2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1 639.0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1 639.0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1 639.0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10 257.2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10 257.2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10 257.2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666.6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666.6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666.6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67 381.4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67 381.4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67 381.4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524.4</w:t>
            </w:r>
          </w:p>
        </w:tc>
      </w:tr>
      <w:tr>
        <w:trPr>
          <w:trHeight w:val="189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29.9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90 612.6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55 038.2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35.2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53 802.9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211.6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211.6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580.5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580.5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580.5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35 574.4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15 155.7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557.0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20 418.7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19 685.2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19 685.2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223 909.2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283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220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178 942.8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3 347.6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61 765.3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51 821.0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51 821.0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15 828.8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23 577.9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8 714.4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3 699.9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9 865.3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9 865.3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1 510.2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6 082.8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614.9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53.8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326.3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4 546.8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4 499.5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4 499.5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4 499.5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189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21 778.5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15 700.9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15 700.9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15 700.9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27.7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6 050.0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1 445.2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1 368.9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1 368.9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1 368.9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9 243.0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540.8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6 324.8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15 688.0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5 001.1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18 128.6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18 123.6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18 123.6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18 123.6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57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94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1 222 269.0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7)Таблицу 1 приложения 14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16"/>
        <w:gridCol w:w="2967"/>
        <w:gridCol w:w="4761"/>
        <w:gridCol w:w="1650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688 206,3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688 206,3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2272F"/>
                <w:sz w:val="24"/>
                <w:szCs w:val="24"/>
                <w:shd w:fill="FFFFFF" w:val="cle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371 083,5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7 063,2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779,7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37 806,6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310 918,2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13 991,4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296 998,4</w:t>
            </w:r>
          </w:p>
        </w:tc>
      </w:tr>
      <w:tr>
        <w:trPr>
          <w:trHeight w:val="1458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городских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608,1</w:t>
            </w:r>
          </w:p>
        </w:tc>
      </w:tr>
      <w:tr>
        <w:trPr>
          <w:trHeight w:val="142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сельских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141,7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163 272,2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61 845,4</w:t>
            </w:r>
            <w:bookmarkStart w:id="5" w:name="_Hlk498274835"/>
            <w:bookmarkEnd w:id="5"/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8 335,8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2 785,3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758,2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2 195,3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2 272,1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21 257,7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3 654,0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2 02 35120 05 0000 150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25 467,1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1 414,4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20 124,4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2 02 45050 00 0000 150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885,4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2 02 45179 05 00 0000 150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2 503,3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2 709,2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817,4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5 615,3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7 558,6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35,2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Дополнить таблицей 1 приложения 15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</w:t>
            </w:r>
            <w:bookmarkStart w:id="6" w:name="_GoBack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компенсации расходов, возникших в результате решений,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принятых органами власти другого уровня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b w:val="false"/>
          <w:bCs/>
          <w:color w:val="auto"/>
          <w:sz w:val="6"/>
          <w:szCs w:val="24"/>
        </w:rPr>
      </w:pPr>
      <w:r>
        <w:rPr>
          <w:rFonts w:cs="Times New Roman" w:ascii="Times New Roman" w:hAnsi="Times New Roman"/>
          <w:b w:val="false"/>
          <w:bCs/>
          <w:color w:val="auto"/>
          <w:sz w:val="6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right"/>
        <w:rPr>
          <w:rStyle w:val="Style9"/>
          <w:rFonts w:ascii="Times New Roman" w:hAnsi="Times New Roman" w:cs="Times New Roman"/>
          <w:b w:val="false"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Style w:val="a3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0"/>
        <w:gridCol w:w="6131"/>
        <w:gridCol w:w="3394"/>
      </w:tblGrid>
      <w:tr>
        <w:trPr/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1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3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1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Ташкичуйское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1 850,7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1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Поселок городского типа Уруссу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7 558,6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1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9 409,3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cs="Times New Roman" w:ascii="Times New Roman" w:hAnsi="Times New Roman"/>
          <w:sz w:val="24"/>
          <w:szCs w:val="28"/>
        </w:rPr>
        <w:t>с 1 января 2026 года.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Республики Татарстан - Председатель Ютазинского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районного Совета Республики Татарстан                                                                    А.А. Шафигуллин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8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8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themeColor="background1"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themeColor="background1"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94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7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8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19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ad5025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Title">
    <w:name w:val="Title"/>
    <w:basedOn w:val="Normal"/>
    <w:link w:val="Style13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qFormat/>
    <w:rsid w:val="00ad5025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8143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3B32-880F-4F54-BDB7-9443015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LibreOffice/24.8.4.2$Linux_X86_64 LibreOffice_project/480$Build-2</Application>
  <AppVersion>15.0000</AppVersion>
  <Pages>86</Pages>
  <Words>21250</Words>
  <Characters>147203</Characters>
  <CharactersWithSpaces>162437</CharactersWithSpaces>
  <Paragraphs>9368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2025-03-22T09:55:00Z</dcterms:created>
  <dc:creator>utaz-rfo4</dc:creator>
  <dc:description/>
  <dc:language>ru-RU</dc:language>
  <cp:lastModifiedBy/>
  <cp:lastPrinted>2025-04-01T12:20:00Z</cp:lastPrinted>
  <dcterms:modified xsi:type="dcterms:W3CDTF">2026-04-14T16:51:56Z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