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4E" w:rsidRDefault="00FE1947">
      <w:hyperlink r:id="rId4" w:history="1">
        <w:r w:rsidRPr="008E29FB">
          <w:rPr>
            <w:rStyle w:val="a3"/>
          </w:rPr>
          <w:t>https://jutaza.tatarstan.ru/zhilishchnie-programmi-drugih-ministerstv.htm</w:t>
        </w:r>
      </w:hyperlink>
    </w:p>
    <w:p w:rsidR="00FE1947" w:rsidRDefault="00FE1947">
      <w:bookmarkStart w:id="0" w:name="_GoBack"/>
      <w:bookmarkEnd w:id="0"/>
    </w:p>
    <w:sectPr w:rsidR="00FE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47"/>
    <w:rsid w:val="00EB5D4E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4B3"/>
  <w15:chartTrackingRefBased/>
  <w15:docId w15:val="{9F26DFBB-8C62-4D1C-9545-8100F05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taza.tatarstan.ru/zhilishchnie-programmi-drugih-ministerst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2022-07-25T13:12:00Z</dcterms:created>
  <dcterms:modified xsi:type="dcterms:W3CDTF">2022-07-25T13:13:00Z</dcterms:modified>
</cp:coreProperties>
</file>