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BDF" w:rsidRDefault="00627BDF" w:rsidP="00627BDF">
      <w:pPr>
        <w:jc w:val="center"/>
        <w:rPr>
          <w:rFonts w:ascii="Times New Roman" w:hAnsi="Times New Roman"/>
          <w:sz w:val="28"/>
          <w:szCs w:val="28"/>
        </w:rPr>
      </w:pPr>
      <w:r w:rsidRPr="00601F96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031420C7" wp14:editId="363A271E">
            <wp:extent cx="710565" cy="752475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1" cy="7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DF" w:rsidRPr="00627BDF" w:rsidRDefault="00627BDF" w:rsidP="00627BDF">
      <w:pPr>
        <w:spacing w:after="0" w:line="240" w:lineRule="auto"/>
        <w:jc w:val="center"/>
        <w:rPr>
          <w:rFonts w:ascii="Times New Roman" w:eastAsiaTheme="minorHAnsi" w:hAnsi="Times New Roman"/>
          <w:b/>
          <w:color w:val="C00000"/>
          <w:sz w:val="28"/>
          <w:szCs w:val="28"/>
        </w:rPr>
      </w:pPr>
      <w:r w:rsidRPr="00627BDF">
        <w:rPr>
          <w:rFonts w:ascii="Times New Roman" w:eastAsiaTheme="minorHAnsi" w:hAnsi="Times New Roman"/>
          <w:b/>
          <w:color w:val="C00000"/>
          <w:sz w:val="28"/>
          <w:szCs w:val="28"/>
        </w:rPr>
        <w:t>ЮТАЗИНСКИЙ МУНИЦИПАЛЬНЫЙ РАЙОН</w:t>
      </w:r>
    </w:p>
    <w:p w:rsidR="00627BDF" w:rsidRPr="00627BDF" w:rsidRDefault="00627BDF" w:rsidP="00627BDF">
      <w:pPr>
        <w:spacing w:after="0" w:line="240" w:lineRule="auto"/>
        <w:jc w:val="center"/>
        <w:rPr>
          <w:rFonts w:ascii="Times New Roman" w:eastAsiaTheme="minorHAnsi" w:hAnsi="Times New Roman"/>
          <w:b/>
          <w:color w:val="C00000"/>
          <w:sz w:val="28"/>
          <w:szCs w:val="28"/>
        </w:rPr>
      </w:pPr>
      <w:r w:rsidRPr="00627BDF">
        <w:rPr>
          <w:rFonts w:ascii="Times New Roman" w:eastAsiaTheme="minorHAnsi" w:hAnsi="Times New Roman"/>
          <w:b/>
          <w:color w:val="C00000"/>
          <w:sz w:val="28"/>
          <w:szCs w:val="28"/>
        </w:rPr>
        <w:t>РЕСПУБЛИКИ ТАТАРСТАН</w:t>
      </w:r>
    </w:p>
    <w:p w:rsidR="00627BDF" w:rsidRPr="00627BDF" w:rsidRDefault="00627BDF" w:rsidP="00627BDF">
      <w:pPr>
        <w:spacing w:after="0" w:line="240" w:lineRule="auto"/>
        <w:jc w:val="center"/>
        <w:rPr>
          <w:rFonts w:ascii="Times New Roman" w:eastAsiaTheme="minorHAnsi" w:hAnsi="Times New Roman"/>
          <w:b/>
          <w:color w:val="C00000"/>
          <w:sz w:val="28"/>
          <w:szCs w:val="28"/>
        </w:rPr>
      </w:pPr>
    </w:p>
    <w:p w:rsidR="00627BDF" w:rsidRPr="00627BDF" w:rsidRDefault="00627BDF" w:rsidP="00627BDF">
      <w:pPr>
        <w:spacing w:after="0" w:line="240" w:lineRule="auto"/>
        <w:jc w:val="center"/>
        <w:rPr>
          <w:rFonts w:ascii="Times New Roman" w:eastAsiaTheme="minorHAnsi" w:hAnsi="Times New Roman"/>
          <w:b/>
          <w:color w:val="C00000"/>
          <w:sz w:val="40"/>
          <w:szCs w:val="40"/>
        </w:rPr>
      </w:pPr>
      <w:r w:rsidRPr="00627BDF">
        <w:rPr>
          <w:rFonts w:ascii="Times New Roman" w:eastAsiaTheme="minorHAnsi" w:hAnsi="Times New Roman"/>
          <w:b/>
          <w:color w:val="C00000"/>
          <w:sz w:val="40"/>
          <w:szCs w:val="40"/>
        </w:rPr>
        <w:t>ПАМЯТКА</w:t>
      </w:r>
    </w:p>
    <w:p w:rsidR="00627BDF" w:rsidRPr="00627BDF" w:rsidRDefault="00627BDF" w:rsidP="00627BDF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627BDF">
        <w:rPr>
          <w:rFonts w:ascii="Times New Roman" w:hAnsi="Times New Roman"/>
          <w:b/>
          <w:color w:val="C00000"/>
          <w:sz w:val="28"/>
          <w:szCs w:val="28"/>
        </w:rPr>
        <w:t xml:space="preserve">изменения в </w:t>
      </w:r>
      <w:r w:rsidRPr="00627BDF">
        <w:rPr>
          <w:rFonts w:ascii="Times New Roman" w:hAnsi="Times New Roman"/>
          <w:b/>
          <w:color w:val="C00000"/>
          <w:sz w:val="28"/>
          <w:szCs w:val="28"/>
        </w:rPr>
        <w:t>предоставлени</w:t>
      </w:r>
      <w:r w:rsidRPr="00627BDF">
        <w:rPr>
          <w:rFonts w:ascii="Times New Roman" w:hAnsi="Times New Roman"/>
          <w:b/>
          <w:color w:val="C00000"/>
          <w:sz w:val="28"/>
          <w:szCs w:val="28"/>
        </w:rPr>
        <w:t>и</w:t>
      </w:r>
      <w:r w:rsidRPr="00627BDF">
        <w:rPr>
          <w:rFonts w:ascii="Times New Roman" w:hAnsi="Times New Roman"/>
          <w:b/>
          <w:color w:val="C00000"/>
          <w:sz w:val="28"/>
          <w:szCs w:val="28"/>
        </w:rPr>
        <w:t xml:space="preserve"> сведений о доходах, об имуществе и обязательствах имущественного характера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за 2022 год</w:t>
      </w:r>
      <w:bookmarkStart w:id="0" w:name="_GoBack"/>
      <w:bookmarkEnd w:id="0"/>
    </w:p>
    <w:p w:rsidR="00627BDF" w:rsidRDefault="00627BDF" w:rsidP="00627B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Указом Президента Российской Федерации от 18 июля 2022 года № 472 «О мерах по реализации отдельных положений Федерального закона «О внесении изменений в статью 26 Федерального закона «О банках и банковской деятельности» и Федеральный закон «О противодействии коррупции» установлено: лицо, представившее сведения о доходах, об имуществе и обязательствах имущественного характера, также представляет сведения, подтверждающие законность получения денежных средств, в течение 15 рабочих дней с даты их истребования в соответствии с частью 1 статьи 8.2 Федерального закона от 25 декабря 2008 года № 273-ФЗ «О противодействии коррупции». </w:t>
      </w:r>
    </w:p>
    <w:p w:rsidR="00627BDF" w:rsidRDefault="00627BDF" w:rsidP="00627B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Статья 8.2 введена Федеральным законом от 6 марта 2022 года № 44-ФЗ и устанавливает, что в случае, если в ходе осуществления проверки достоверности и полноты сведений о доходах, об имуществе и обязательствах имущественного характера получена информация о том, что в течение года, предшествующего году представления указанных сведений (отчетный период), на счета лица, представившего указанные сведения, его супруги (супруга) и несовершеннолетних детей в банках и (или) иных кредитных организациях поступили денежные средства в сумме, превышающей их совокупный доход за отчетный период и предшествующие два года, лица, осуществляющие проверку, обязаны истребовать у проверяемого лица сведения, подтверждающие законность получения этих денежных средств. </w:t>
      </w:r>
    </w:p>
    <w:p w:rsidR="00627BDF" w:rsidRDefault="00627BDF" w:rsidP="00627B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непредставления проверяемым лицом сведений, подтверждающих законность получения этих денежных средств, или представления недостоверных сведений, материалы проверки в трехдневный срок после ее завершения направляются лицом, принявшим решение о ее осуществлении, в органы прокуратуры Российской Федерации. </w:t>
      </w:r>
    </w:p>
    <w:p w:rsidR="00627BDF" w:rsidRDefault="00627BDF" w:rsidP="00627B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1 июля 2023 года вносятся изменения в форму справки о доходах, расходах, об имуществе и обязательствах имущественного характера, утвержденную Указом Президента Российской Федерации от 23 июня 2014 года №460, в части представления служащими и лицами, претендующими на замещение соответствующих должностей, сведений о счетах в банках и иных кредитных организациях (а именно необходимости приложения выписки о движении денежных средств по счетам за отчетный период в случаях указания суммы денежных средств, поступивших на счета за отчетный период, если общая сумма таких денежных средств превышает общий доход лица, его супруги (супруга) и несовершеннолетних детей за отчетный период и предшествующие два года).</w:t>
      </w:r>
    </w:p>
    <w:p w:rsidR="00A42869" w:rsidRDefault="00A42869"/>
    <w:sectPr w:rsidR="00A42869" w:rsidSect="00627BDF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BDF"/>
    <w:rsid w:val="00627BDF"/>
    <w:rsid w:val="00A4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308C1"/>
  <w15:chartTrackingRefBased/>
  <w15:docId w15:val="{D6C393DD-B16F-4283-B085-C49E6D1A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BD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0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2023-01-31T10:29:00Z</dcterms:created>
  <dcterms:modified xsi:type="dcterms:W3CDTF">2023-01-31T10:37:00Z</dcterms:modified>
</cp:coreProperties>
</file>